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AF65A">
      <w:pPr>
        <w:spacing w:line="360" w:lineRule="auto"/>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2026年全国教育科学规划</w:t>
      </w:r>
    </w:p>
    <w:p w14:paraId="217BFABE">
      <w:pPr>
        <w:spacing w:line="360" w:lineRule="auto"/>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教育考试研究专项指南</w:t>
      </w:r>
    </w:p>
    <w:p w14:paraId="3FD1CA06">
      <w:pPr>
        <w:spacing w:line="360" w:lineRule="auto"/>
        <w:rPr>
          <w:rFonts w:hint="eastAsia" w:ascii="方正小标宋简体" w:hAnsi="方正小标宋简体" w:eastAsia="方正小标宋简体" w:cs="方正小标宋简体"/>
          <w:color w:val="auto"/>
          <w:sz w:val="36"/>
          <w:szCs w:val="36"/>
          <w:highlight w:val="none"/>
        </w:rPr>
      </w:pPr>
    </w:p>
    <w:p w14:paraId="2AA2CB4E">
      <w:pPr>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教育考试研究专项包括重点、一般和培育项目。申报教育考试研究专项，须从指南中选题，</w:t>
      </w:r>
      <w:r>
        <w:rPr>
          <w:rFonts w:hint="eastAsia" w:ascii="Times New Roman" w:hAnsi="Times New Roman" w:eastAsia="仿宋_GB2312" w:cs="Times New Roman"/>
          <w:color w:val="auto"/>
          <w:sz w:val="32"/>
          <w:szCs w:val="32"/>
          <w:highlight w:val="none"/>
        </w:rPr>
        <w:t>并</w:t>
      </w:r>
      <w:r>
        <w:rPr>
          <w:rFonts w:ascii="Times New Roman" w:hAnsi="Times New Roman" w:eastAsia="仿宋_GB2312" w:cs="Times New Roman"/>
          <w:color w:val="auto"/>
          <w:sz w:val="32"/>
          <w:szCs w:val="32"/>
          <w:highlight w:val="none"/>
        </w:rPr>
        <w:t>按照指南意图开展研究</w:t>
      </w:r>
      <w:r>
        <w:rPr>
          <w:rFonts w:hint="eastAsia" w:ascii="Times New Roman" w:hAnsi="Times New Roman" w:eastAsia="仿宋_GB2312" w:cs="Times New Roman"/>
          <w:color w:val="auto"/>
          <w:sz w:val="32"/>
          <w:szCs w:val="32"/>
          <w:highlight w:val="none"/>
        </w:rPr>
        <w:t>。</w:t>
      </w:r>
      <w:r>
        <w:rPr>
          <w:rFonts w:ascii="仿宋_GB2312" w:hAnsi="仿宋_GB2312" w:eastAsia="仿宋_GB2312" w:cs="仿宋_GB2312"/>
          <w:color w:val="auto"/>
          <w:sz w:val="32"/>
          <w:szCs w:val="32"/>
          <w:highlight w:val="none"/>
        </w:rPr>
        <w:t>自拟选题不予受理。研究期限为2-3年，不得延期。每个选题原则上只确立1个</w:t>
      </w:r>
      <w:r>
        <w:rPr>
          <w:rFonts w:hint="eastAsia" w:ascii="仿宋_GB2312" w:hAnsi="仿宋_GB2312" w:eastAsia="仿宋_GB2312" w:cs="仿宋_GB2312"/>
          <w:color w:val="auto"/>
          <w:sz w:val="32"/>
          <w:szCs w:val="32"/>
          <w:highlight w:val="none"/>
        </w:rPr>
        <w:t>立项</w:t>
      </w:r>
      <w:r>
        <w:rPr>
          <w:rFonts w:ascii="仿宋_GB2312" w:hAnsi="仿宋_GB2312" w:eastAsia="仿宋_GB2312" w:cs="仿宋_GB2312"/>
          <w:color w:val="auto"/>
          <w:sz w:val="32"/>
          <w:szCs w:val="32"/>
          <w:highlight w:val="none"/>
        </w:rPr>
        <w:t>项目。</w:t>
      </w:r>
    </w:p>
    <w:p w14:paraId="555E044E">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1.面向国家战略急需领域人才选拔的高考内容与录取方式改革研究（重点）</w:t>
      </w:r>
    </w:p>
    <w:p w14:paraId="1A225954">
      <w:pPr>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Times New Roman" w:hAnsi="Times New Roman" w:eastAsia="楷体_GB2312" w:cs="Times New Roman"/>
          <w:color w:val="auto"/>
          <w:sz w:val="32"/>
          <w:szCs w:val="32"/>
          <w:highlight w:val="none"/>
        </w:rPr>
        <w:t>指南意图：</w:t>
      </w:r>
      <w:r>
        <w:rPr>
          <w:rFonts w:hint="eastAsia" w:ascii="仿宋_GB2312" w:hAnsi="仿宋_GB2312" w:eastAsia="仿宋_GB2312" w:cs="仿宋_GB2312"/>
          <w:color w:val="auto"/>
          <w:sz w:val="32"/>
          <w:szCs w:val="32"/>
          <w:highlight w:val="none"/>
        </w:rPr>
        <w:t>（1）聚焦3—5个国家战略急需领域，研究这些领域人才早期特质画像；（2）研究分析现行高考各科（以数学、物理、化学、生物等为重点）与急需领域人才特质的契合度与差距；（3）研究基于人才特质画像的高考内容改革路径；</w:t>
      </w:r>
      <w:r>
        <w:rPr>
          <w:rFonts w:hint="eastAsia" w:ascii="仿宋_GB2312" w:hAnsi="仿宋_GB2312" w:eastAsia="仿宋_GB2312" w:cs="仿宋_GB2312"/>
          <w:bCs/>
          <w:color w:val="auto"/>
          <w:sz w:val="32"/>
          <w:szCs w:val="32"/>
          <w:highlight w:val="none"/>
        </w:rPr>
        <w:t>（4）研究服务急需领域人才选拔的高考录取方式改革路径；（5）研究</w:t>
      </w:r>
      <w:r>
        <w:rPr>
          <w:rFonts w:hint="eastAsia" w:ascii="仿宋_GB2312" w:hAnsi="仿宋_GB2312" w:eastAsia="仿宋_GB2312" w:cs="仿宋_GB2312"/>
          <w:color w:val="auto"/>
          <w:sz w:val="32"/>
          <w:szCs w:val="32"/>
          <w:highlight w:val="none"/>
        </w:rPr>
        <w:t>提出高考服务国家</w:t>
      </w:r>
      <w:r>
        <w:rPr>
          <w:rFonts w:hint="eastAsia" w:ascii="仿宋_GB2312" w:hAnsi="仿宋_GB2312" w:eastAsia="仿宋_GB2312" w:cs="仿宋_GB2312"/>
          <w:bCs/>
          <w:color w:val="auto"/>
          <w:sz w:val="32"/>
          <w:szCs w:val="32"/>
          <w:highlight w:val="none"/>
        </w:rPr>
        <w:t>战略急需领域人才选拔的政策建议。</w:t>
      </w:r>
    </w:p>
    <w:p w14:paraId="6ECE3152">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2.教育考试专属大模型构建与安全应用研究（重点）</w:t>
      </w:r>
    </w:p>
    <w:p w14:paraId="72A3558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z w:val="32"/>
          <w:szCs w:val="32"/>
          <w:highlight w:val="none"/>
        </w:rPr>
        <w:t>（1）研究适合教育考试机构私有化部署的专属大模型技术架构方案；（2）研发适配教育考试核心业务场景的智能体；（3）研究专属大模型的训练模式与私有化部署规范；（4）研究专属大模型安全管控体系（包括数据安全、内容安全、隐私保护等）；（5）开展</w:t>
      </w:r>
      <w:r>
        <w:rPr>
          <w:rFonts w:ascii="Times New Roman" w:hAnsi="Times New Roman" w:eastAsia="仿宋_GB2312" w:cs="Times New Roman"/>
          <w:color w:val="auto"/>
          <w:sz w:val="32"/>
          <w:szCs w:val="32"/>
          <w:highlight w:val="none"/>
        </w:rPr>
        <w:t>典型业务场景的试点验证与效果评估</w:t>
      </w:r>
      <w:r>
        <w:rPr>
          <w:rFonts w:ascii="Times New Roman" w:hAnsi="Times New Roman" w:eastAsia="仿宋_GB2312" w:cs="Times New Roman"/>
          <w:bCs/>
          <w:color w:val="auto"/>
          <w:sz w:val="32"/>
          <w:szCs w:val="32"/>
          <w:highlight w:val="none"/>
        </w:rPr>
        <w:t>。</w:t>
      </w:r>
    </w:p>
    <w:p w14:paraId="5D3C12B2">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3.基于多源大规模考试数据的区域教育质量画像与精准诊断研究（一般）</w:t>
      </w:r>
    </w:p>
    <w:p w14:paraId="7D595C30">
      <w:pPr>
        <w:spacing w:line="360" w:lineRule="auto"/>
        <w:ind w:firstLine="700" w:firstLineChars="219"/>
        <w:rPr>
          <w:rFonts w:ascii="Times New Roman" w:hAnsi="Times New Roman" w:eastAsia="仿宋_GB2312" w:cs="Times New Roman"/>
          <w:bCs/>
          <w:color w:val="auto"/>
          <w:spacing w:val="-3"/>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pacing w:val="-3"/>
          <w:sz w:val="32"/>
          <w:szCs w:val="32"/>
          <w:highlight w:val="none"/>
        </w:rPr>
        <w:t>（1）梳理区域大规模考试数据来源，研究构建区域教育质量监测数据库；（2）研究构建区域教育质量画像指标体系；（3）研究区域教育质量诊断分析模型；（4）</w:t>
      </w:r>
      <w:r>
        <w:rPr>
          <w:rFonts w:ascii="Times New Roman" w:hAnsi="Times New Roman" w:eastAsia="仿宋_GB2312" w:cs="Times New Roman"/>
          <w:color w:val="auto"/>
          <w:spacing w:val="-3"/>
          <w:sz w:val="32"/>
          <w:szCs w:val="32"/>
          <w:highlight w:val="none"/>
        </w:rPr>
        <w:t>研究区域教育质量画像与诊断结果的可视化呈现</w:t>
      </w:r>
      <w:r>
        <w:rPr>
          <w:rFonts w:ascii="Times New Roman" w:hAnsi="Times New Roman" w:eastAsia="仿宋_GB2312" w:cs="Times New Roman"/>
          <w:bCs/>
          <w:color w:val="auto"/>
          <w:spacing w:val="-3"/>
          <w:sz w:val="32"/>
          <w:szCs w:val="32"/>
          <w:highlight w:val="none"/>
        </w:rPr>
        <w:t>；（5）</w:t>
      </w:r>
      <w:r>
        <w:rPr>
          <w:rFonts w:ascii="Times New Roman" w:hAnsi="Times New Roman" w:eastAsia="仿宋_GB2312" w:cs="Times New Roman"/>
          <w:color w:val="auto"/>
          <w:spacing w:val="-3"/>
          <w:sz w:val="32"/>
          <w:szCs w:val="32"/>
          <w:highlight w:val="none"/>
        </w:rPr>
        <w:t>开展区域教育质量画像与精准诊断的实证研究</w:t>
      </w:r>
      <w:r>
        <w:rPr>
          <w:rFonts w:ascii="Times New Roman" w:hAnsi="Times New Roman" w:eastAsia="仿宋_GB2312" w:cs="Times New Roman"/>
          <w:bCs/>
          <w:color w:val="auto"/>
          <w:spacing w:val="-3"/>
          <w:sz w:val="32"/>
          <w:szCs w:val="32"/>
          <w:highlight w:val="none"/>
        </w:rPr>
        <w:t>。</w:t>
      </w:r>
    </w:p>
    <w:p w14:paraId="1655C7E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4.普通高校艺术类专业省级统考质量监测指标与动态反馈机制研究（一般）</w:t>
      </w:r>
    </w:p>
    <w:p w14:paraId="60B1E825">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（1）研究构建艺考省级统考质量监测指标体系；（2）研究基于多源数据、针对不同专业类别的艺考质量动态监测技术与分析方法；（3）开展</w:t>
      </w:r>
      <w:r>
        <w:rPr>
          <w:rFonts w:ascii="Times New Roman" w:hAnsi="Times New Roman" w:eastAsia="仿宋_GB2312" w:cs="Times New Roman"/>
          <w:bCs/>
          <w:color w:val="auto"/>
          <w:sz w:val="32"/>
          <w:szCs w:val="32"/>
          <w:highlight w:val="none"/>
        </w:rPr>
        <w:t>艺考省级统考质量监测预警工具研发与应用</w:t>
      </w:r>
      <w:r>
        <w:rPr>
          <w:rFonts w:ascii="Times New Roman" w:hAnsi="Times New Roman" w:eastAsia="仿宋_GB2312" w:cs="Times New Roman"/>
          <w:color w:val="auto"/>
          <w:sz w:val="32"/>
          <w:szCs w:val="32"/>
          <w:highlight w:val="none"/>
        </w:rPr>
        <w:t>；（4）</w:t>
      </w:r>
      <w:r>
        <w:rPr>
          <w:rFonts w:ascii="Times New Roman" w:hAnsi="Times New Roman" w:eastAsia="仿宋_GB2312" w:cs="Times New Roman"/>
          <w:bCs/>
          <w:color w:val="auto"/>
          <w:sz w:val="32"/>
          <w:szCs w:val="32"/>
          <w:highlight w:val="none"/>
        </w:rPr>
        <w:t>研究艺考省级统考质量监测结果的多维反馈与联动改进机制；</w:t>
      </w:r>
      <w:r>
        <w:rPr>
          <w:rFonts w:ascii="Times New Roman" w:hAnsi="Times New Roman" w:eastAsia="仿宋_GB2312" w:cs="Times New Roman"/>
          <w:color w:val="auto"/>
          <w:sz w:val="32"/>
          <w:szCs w:val="32"/>
          <w:highlight w:val="none"/>
        </w:rPr>
        <w:t>（5）研制艺考省级统考质量保障操作指南。</w:t>
      </w:r>
    </w:p>
    <w:p w14:paraId="56215FB8">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5.大规模计算机化考试关键技术体系与安全保障机制研究（一般）</w:t>
      </w:r>
    </w:p>
    <w:p w14:paraId="788CF2F3">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大规模计算机化考试自主可控核心技术体系与一体化安全技术架构；（2）研制大规模计算机化考试基础设施配置标准与国家级技术标准体系；（3）研究大规模计算机化考试安全风险识别模型与动态防控机制；（4）研究大规模计算机化考试常态化运营管理体系与特殊群体支持体系；（5）研究大规模计算机化考试多主体协同治理机制与制度保障体系。</w:t>
      </w:r>
    </w:p>
    <w:p w14:paraId="1A45CA2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6.研究生招生考试自命题质量保障与风险防控一体化体系研究（一般）</w:t>
      </w:r>
    </w:p>
    <w:p w14:paraId="103DBA31">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开展研究生招生考试自命题现状调研与问题诊断研究；（2）研究自命题质量评价指标体系与评价方法；（3）研究构建自命题全流程质量保障体系；（4）研究自命题关键风险点识别、评估与防控一体化机制；（5）研制自命题质量保障与风险防控操作指南。</w:t>
      </w:r>
    </w:p>
    <w:p w14:paraId="7F256A2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7.面向学习型社会的高等教育自学考试精准学习支持服务体系研究（一般）</w:t>
      </w:r>
    </w:p>
    <w:p w14:paraId="642B2586">
      <w:pPr>
        <w:widowControl/>
        <w:spacing w:line="360" w:lineRule="auto"/>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shd w:val="clear" w:color="auto" w:fill="FFFFFF"/>
        </w:rPr>
        <w:t>（1）开展自学考试考生群体的多维特征及学习需求分析；（2）研究供需适配的自学考试精准学习支持服务体系框架；（3）研发基于人工智能的精准学习支持服务典型场景与工具原型；（4）研究精准学习支持服务体系的质量标准与可持续发展机制；（5）研究提出精准学习支持服务体系的推进路径。</w:t>
      </w:r>
    </w:p>
    <w:p w14:paraId="70C803BA">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8.面向人工智能时代的高考测量新构念与命题创新研究（培育）</w:t>
      </w:r>
    </w:p>
    <w:p w14:paraId="1196203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z w:val="32"/>
          <w:szCs w:val="32"/>
          <w:highlight w:val="none"/>
        </w:rPr>
        <w:t>（1）研究分析</w:t>
      </w:r>
      <w:r>
        <w:rPr>
          <w:rFonts w:ascii="Times New Roman" w:hAnsi="Times New Roman" w:eastAsia="仿宋_GB2312" w:cs="Times New Roman"/>
          <w:color w:val="auto"/>
          <w:sz w:val="32"/>
          <w:szCs w:val="32"/>
          <w:highlight w:val="none"/>
        </w:rPr>
        <w:t>人工智能时代对人才能力结构的新要求；（2）分析人工智能时代对现有高考测量构念提出的新挑战与新需求；（3）</w:t>
      </w:r>
      <w:r>
        <w:rPr>
          <w:rFonts w:ascii="Times New Roman" w:hAnsi="Times New Roman" w:eastAsia="仿宋_GB2312" w:cs="Times New Roman"/>
          <w:bCs/>
          <w:color w:val="auto"/>
          <w:sz w:val="32"/>
          <w:szCs w:val="32"/>
          <w:highlight w:val="none"/>
        </w:rPr>
        <w:t>研究</w:t>
      </w:r>
      <w:r>
        <w:rPr>
          <w:rFonts w:ascii="Times New Roman" w:hAnsi="Times New Roman" w:eastAsia="仿宋_GB2312" w:cs="Times New Roman"/>
          <w:color w:val="auto"/>
          <w:sz w:val="32"/>
          <w:szCs w:val="32"/>
          <w:highlight w:val="none"/>
        </w:rPr>
        <w:t>建构人工智能时代</w:t>
      </w:r>
      <w:r>
        <w:rPr>
          <w:rFonts w:ascii="Times New Roman" w:hAnsi="Times New Roman" w:eastAsia="仿宋_GB2312" w:cs="Times New Roman"/>
          <w:bCs/>
          <w:color w:val="auto"/>
          <w:sz w:val="32"/>
          <w:szCs w:val="32"/>
          <w:highlight w:val="none"/>
        </w:rPr>
        <w:t>高考分学科（</w:t>
      </w:r>
      <w:r>
        <w:rPr>
          <w:rFonts w:ascii="Times New Roman" w:hAnsi="Times New Roman" w:eastAsia="仿宋_GB2312" w:cs="Times New Roman"/>
          <w:color w:val="auto"/>
          <w:sz w:val="32"/>
          <w:szCs w:val="32"/>
          <w:highlight w:val="none"/>
        </w:rPr>
        <w:t>以语文、数学、英语为重点</w:t>
      </w:r>
      <w:r>
        <w:rPr>
          <w:rFonts w:ascii="Times New Roman" w:hAnsi="Times New Roman" w:eastAsia="仿宋_GB2312" w:cs="Times New Roman"/>
          <w:bCs/>
          <w:color w:val="auto"/>
          <w:sz w:val="32"/>
          <w:szCs w:val="32"/>
          <w:highlight w:val="none"/>
        </w:rPr>
        <w:t>）测量新构念的理论框架；（4）研究基于新构念的分学科创新题型与命题技术；（5）开展创新试题的实证研究。</w:t>
      </w:r>
    </w:p>
    <w:p w14:paraId="194AE5BC">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9.教育强国建设背景下适应基础教育课程改革的中小学教师准入评价体系创新研究（培育）</w:t>
      </w:r>
    </w:p>
    <w:p w14:paraId="4A772E9C">
      <w:pPr>
        <w:widowControl/>
        <w:spacing w:line="360" w:lineRule="auto"/>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shd w:val="clear" w:color="auto" w:fill="FFFFFF"/>
        </w:rPr>
        <w:t>（1）研究</w:t>
      </w:r>
      <w:r>
        <w:rPr>
          <w:rFonts w:ascii="Times New Roman" w:hAnsi="Times New Roman" w:eastAsia="仿宋_GB2312" w:cs="Times New Roman"/>
          <w:color w:val="auto"/>
          <w:sz w:val="32"/>
          <w:szCs w:val="32"/>
          <w:highlight w:val="none"/>
        </w:rPr>
        <w:t>基础教育课程改革对中小学教师核心素养的新要求；（2）开展当前中小学教师准入评价体系的现状审视与问题诊断研究；（3）研究构建适应基础教育课程改革需求的中小学教师准入评价体系框架；（4）研究作为准入评价体系核心的中小学教师资格考试内容与形式改革；（</w:t>
      </w:r>
      <w:r>
        <w:rPr>
          <w:rFonts w:ascii="Times New Roman" w:hAnsi="Times New Roman" w:eastAsia="仿宋_GB2312" w:cs="Times New Roman"/>
          <w:color w:val="auto"/>
          <w:sz w:val="32"/>
          <w:szCs w:val="32"/>
          <w:highlight w:val="none"/>
          <w:shd w:val="clear" w:color="auto" w:fill="FFFFFF"/>
        </w:rPr>
        <w:t>5）研究提出中小学教师准入评价体系整体改革与教师资格考试改革的政策建议。</w:t>
      </w:r>
    </w:p>
    <w:p w14:paraId="25C20C9F">
      <w:pPr>
        <w:spacing w:line="360" w:lineRule="auto"/>
        <w:ind w:firstLine="640" w:firstLineChars="200"/>
        <w:rPr>
          <w:rFonts w:hint="eastAsia" w:ascii="黑体" w:hAnsi="黑体" w:eastAsia="黑体" w:cs="黑体"/>
          <w:color w:val="auto"/>
          <w:sz w:val="32"/>
          <w:szCs w:val="32"/>
          <w:highlight w:val="none"/>
        </w:rPr>
      </w:pPr>
      <w:bookmarkStart w:id="0" w:name="OLE_LINK4"/>
      <w:r>
        <w:rPr>
          <w:rFonts w:hint="eastAsia" w:ascii="黑体" w:hAnsi="黑体" w:eastAsia="黑体" w:cs="黑体"/>
          <w:color w:val="auto"/>
          <w:sz w:val="32"/>
          <w:szCs w:val="32"/>
          <w:highlight w:val="none"/>
        </w:rPr>
        <w:t>10.基于生成式人工智能的科学实验模拟场景构建</w:t>
      </w:r>
      <w:bookmarkEnd w:id="0"/>
      <w:r>
        <w:rPr>
          <w:rFonts w:hint="eastAsia" w:ascii="黑体" w:hAnsi="黑体" w:eastAsia="黑体" w:cs="黑体"/>
          <w:color w:val="auto"/>
          <w:sz w:val="32"/>
          <w:szCs w:val="32"/>
          <w:highlight w:val="none"/>
        </w:rPr>
        <w:t>与实验能力测评研究（培育）</w:t>
      </w:r>
    </w:p>
    <w:p w14:paraId="30FF1F78">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生成式人工智能模拟科学实验场景的技术框架与应用边界；（2）研究基于生成式人工智能的科学实验模拟场景构建方法与关键技术；（3）研发基于模拟场景的科学实验能力测评任务；（4）开展典型实验案例的测评工具开发与小规模实证研究；（5）开</w:t>
      </w:r>
      <w:bookmarkStart w:id="1" w:name="_GoBack"/>
      <w:bookmarkEnd w:id="1"/>
      <w:r>
        <w:rPr>
          <w:rFonts w:ascii="Times New Roman" w:hAnsi="Times New Roman" w:eastAsia="仿宋_GB2312" w:cs="Times New Roman"/>
          <w:color w:val="auto"/>
          <w:sz w:val="32"/>
          <w:szCs w:val="32"/>
          <w:highlight w:val="none"/>
        </w:rPr>
        <w:t>展基于生成式人工智能模拟场景的</w:t>
      </w:r>
      <w:r>
        <w:rPr>
          <w:rFonts w:ascii="Times New Roman" w:hAnsi="Times New Roman" w:eastAsia="仿宋_GB2312" w:cs="Times New Roman"/>
          <w:bCs/>
          <w:color w:val="auto"/>
          <w:sz w:val="32"/>
          <w:szCs w:val="32"/>
          <w:highlight w:val="none"/>
        </w:rPr>
        <w:t>实验能力测评效度研究</w:t>
      </w:r>
      <w:r>
        <w:rPr>
          <w:rFonts w:ascii="Times New Roman" w:hAnsi="Times New Roman" w:eastAsia="仿宋_GB2312" w:cs="Times New Roman"/>
          <w:color w:val="auto"/>
          <w:sz w:val="32"/>
          <w:szCs w:val="32"/>
          <w:highlight w:val="none"/>
        </w:rPr>
        <w:t>。</w:t>
      </w:r>
    </w:p>
    <w:p w14:paraId="41E9A86D">
      <w:pPr>
        <w:spacing w:line="360" w:lineRule="auto"/>
        <w:ind w:firstLine="700" w:firstLineChars="219"/>
        <w:rPr>
          <w:rFonts w:ascii="Times New Roman" w:hAnsi="Times New Roman" w:eastAsia="仿宋_GB2312" w:cs="Times New Roman"/>
          <w:color w:val="auto"/>
          <w:sz w:val="32"/>
          <w:szCs w:val="32"/>
          <w:highlight w:val="none"/>
        </w:rPr>
      </w:pPr>
    </w:p>
    <w:p w14:paraId="4AE75E41">
      <w:pPr>
        <w:spacing w:line="360" w:lineRule="auto"/>
        <w:ind w:firstLine="700" w:firstLineChars="219"/>
        <w:rPr>
          <w:rFonts w:ascii="Times New Roman" w:hAnsi="Times New Roman" w:eastAsia="仿宋_GB2312" w:cs="Times New Roman"/>
          <w:color w:val="auto"/>
          <w:sz w:val="32"/>
          <w:szCs w:val="32"/>
          <w:highlight w:val="none"/>
        </w:rPr>
      </w:pPr>
    </w:p>
    <w:p w14:paraId="0802D9DD">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11.数智时代教育考试公平的风险识别与治理机制研究（培育）</w:t>
      </w:r>
    </w:p>
    <w:p w14:paraId="07C3F30B">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剖析数智时代教育考试公平的现实挑战；（2）研究数智时代教育考试公平的核心内涵与理论框架；（3）研究数智时代教育考试公平风险的识别模型与评估方法；（4）研究数智时代教育考试公平治理体系的框架与运行机制；（5）研究提出数智时代教育考试公平治理的实施策略与政策建议。</w:t>
      </w:r>
    </w:p>
    <w:p w14:paraId="7594A514">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2E2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4865CB">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34865CB">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506D9"/>
    <w:rsid w:val="09304FAA"/>
    <w:rsid w:val="12E06634"/>
    <w:rsid w:val="187506D9"/>
    <w:rsid w:val="3D762E42"/>
    <w:rsid w:val="49055826"/>
    <w:rsid w:val="55CD18C1"/>
    <w:rsid w:val="7B5E68EC"/>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2053</Words>
  <Characters>2071</Characters>
  <Lines>0</Lines>
  <Paragraphs>0</Paragraphs>
  <TotalTime>2</TotalTime>
  <ScaleCrop>false</ScaleCrop>
  <LinksUpToDate>false</LinksUpToDate>
  <CharactersWithSpaces>2071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2026-05-25T07:41:00Z</dcterms:created>
  <dc:creator>姜雨婷</dc:creator>
  <cp:lastModifiedBy>王雯</cp:lastModifiedBy>
  <dcterms:modified xsi:type="dcterms:W3CDTF">2026-05-29T12:45:57Z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E065514EBC584DA4AFB4762982C22CC4_11</vt:lpwstr>
  </property>
  <property fmtid="{D5CDD505-2E9C-101B-9397-08002B2CF9AE}" pid="4" name="KSOTemplateDocerSaveRecord">
    <vt:lpwstr>eyJoZGlkIjoiMzEwNTM5NzYwMDRjMzkwZTVkZjY2ODkwMGIxNGU0OTUiLCJ1c2VySWQiOiIzNTQyMjIwODIifQ==</vt:lpwstr>
  </property>
</Properties>
</file>