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FF3A">
      <w:pPr>
        <w:adjustRightInd w:val="0"/>
        <w:snapToGrid w:val="0"/>
        <w:spacing w:line="600" w:lineRule="exact"/>
        <w:jc w:val="left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附件1</w:t>
      </w:r>
    </w:p>
    <w:p w14:paraId="4D553627">
      <w:pPr>
        <w:adjustRightInd w:val="0"/>
        <w:snapToGrid w:val="0"/>
        <w:spacing w:line="600" w:lineRule="exact"/>
        <w:jc w:val="center"/>
        <w:rPr>
          <w:rFonts w:hint="eastAsia" w:ascii="黑体" w:eastAsia="黑体" w:cs="黑体"/>
          <w:sz w:val="44"/>
          <w:szCs w:val="44"/>
        </w:rPr>
      </w:pPr>
    </w:p>
    <w:p w14:paraId="590B4717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辽宁省教育科学“十五五”规划</w:t>
      </w:r>
    </w:p>
    <w:p w14:paraId="20B31DCA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2026年度教师队伍建设研究专项</w:t>
      </w:r>
      <w:bookmarkStart w:id="0" w:name="OLE_LINK2"/>
      <w:r>
        <w:rPr>
          <w:rFonts w:hint="eastAsia" w:ascii="方正小标宋简体" w:eastAsia="方正小标宋简体" w:cs="黑体"/>
          <w:sz w:val="44"/>
          <w:szCs w:val="44"/>
        </w:rPr>
        <w:t>课题指南</w:t>
      </w:r>
    </w:p>
    <w:bookmarkEnd w:id="0"/>
    <w:p w14:paraId="128A9F7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</w:p>
    <w:p w14:paraId="7A29AADE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一、综合研究方向</w:t>
      </w:r>
    </w:p>
    <w:p w14:paraId="0EE42688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1.新时代教师队伍建设现状诊断与高质量发展策略研究</w:t>
      </w:r>
    </w:p>
    <w:p w14:paraId="56497388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2.教育家精神引领新时代教师队伍高质量建设研究</w:t>
      </w:r>
    </w:p>
    <w:p w14:paraId="098548EF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3.教育家精神融入教师培养培训全链条的实践路径研究</w:t>
      </w:r>
    </w:p>
    <w:p w14:paraId="28778D44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4.新时代师德师风建设长效机制构建与实施路径研究</w:t>
      </w:r>
    </w:p>
    <w:p w14:paraId="3886DE2D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5.校家社协同防范师德风险与共育育人生态构建研究</w:t>
      </w:r>
    </w:p>
    <w:p w14:paraId="7865A1C3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6.人工智能赋能教师专业发展的路径与机制研究</w:t>
      </w:r>
    </w:p>
    <w:p w14:paraId="351E7F41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7.人工智能驱动教师个性化研修机制构建研究</w:t>
      </w:r>
    </w:p>
    <w:p w14:paraId="2811BEA5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8.人工智能教学场景下教师伦理规范体系构建与风险防控研究</w:t>
      </w:r>
    </w:p>
    <w:p w14:paraId="5005D3B8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9.新时代教师培训模式创新与成长范式转型研究</w:t>
      </w:r>
    </w:p>
    <w:p w14:paraId="27FE5B44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10.教学名师本土化成长路径与长效机制研究</w:t>
      </w:r>
    </w:p>
    <w:p w14:paraId="0BA64291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11.新时代教师多元评价指标体系构建与应用研究</w:t>
      </w:r>
    </w:p>
    <w:p w14:paraId="4568118F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12.新时代教师学术不端行为综合治理与长效监管研究</w:t>
      </w:r>
    </w:p>
    <w:p w14:paraId="79143E26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bookmarkStart w:id="1" w:name="OLE_LINK1"/>
      <w:r>
        <w:rPr>
          <w:rFonts w:hint="eastAsia" w:ascii="黑体" w:hAnsi="黑体" w:eastAsia="黑体" w:cs="黑体"/>
          <w:sz w:val="32"/>
          <w:szCs w:val="32"/>
        </w:rPr>
        <w:t>高校教师队伍建设方向</w:t>
      </w:r>
    </w:p>
    <w:bookmarkEnd w:id="1"/>
    <w:p w14:paraId="1D90C293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13.高校教师教学创新能力培育体系与实践路径研究</w:t>
      </w:r>
    </w:p>
    <w:p w14:paraId="17C72A9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14.高校青年教师专业发展支持机制与成长路径研究</w:t>
      </w:r>
    </w:p>
    <w:p w14:paraId="5A33FE5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15.高校教师学科（专业）核心教学能力提升实践研究</w:t>
      </w:r>
      <w:bookmarkStart w:id="2" w:name="_GoBack"/>
      <w:bookmarkEnd w:id="2"/>
    </w:p>
    <w:p w14:paraId="36457DEF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16.高校教师课程思政教学能力培育体系构建研究</w:t>
      </w:r>
    </w:p>
    <w:p w14:paraId="10E54E9C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17.高校教师专业发展支持服务体系构建与实践研究</w:t>
      </w:r>
    </w:p>
    <w:p w14:paraId="6F4B130E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pacing w:val="-6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18.</w:t>
      </w:r>
      <w:r>
        <w:rPr>
          <w:rFonts w:hint="eastAsia" w:ascii="仿宋_GB2312" w:hAnsi="宋体" w:eastAsia="仿宋_GB2312" w:cs="仿宋_GB2312"/>
          <w:spacing w:val="-6"/>
          <w:sz w:val="32"/>
          <w:szCs w:val="32"/>
        </w:rPr>
        <w:t>教师教育共同体（联盟）协同运行机制与效能提升研究</w:t>
      </w:r>
    </w:p>
    <w:p w14:paraId="0BBC7BE8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三、高职院校教师队伍建设方向</w:t>
      </w:r>
    </w:p>
    <w:p w14:paraId="44628772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pacing w:val="-6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19.</w:t>
      </w:r>
      <w:r>
        <w:rPr>
          <w:rFonts w:ascii="仿宋_GB2312" w:hAnsi="宋体" w:eastAsia="仿宋_GB2312" w:cs="仿宋_GB2312"/>
          <w:spacing w:val="-6"/>
          <w:sz w:val="32"/>
          <w:szCs w:val="32"/>
        </w:rPr>
        <w:t>高职教师服务区域产业发展的专业能力建设机制研究</w:t>
      </w:r>
    </w:p>
    <w:p w14:paraId="515D8C32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pacing w:val="-6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20.</w:t>
      </w:r>
      <w:r>
        <w:rPr>
          <w:rFonts w:ascii="仿宋_GB2312" w:hAnsi="宋体" w:eastAsia="仿宋_GB2312" w:cs="仿宋_GB2312"/>
          <w:spacing w:val="-6"/>
          <w:sz w:val="32"/>
          <w:szCs w:val="32"/>
        </w:rPr>
        <w:t>产教融合视域下高职教师教学创新团队培育机制研究</w:t>
      </w:r>
    </w:p>
    <w:p w14:paraId="2199283B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21.产教融合背景下高职教师企业实践常态化机制研究</w:t>
      </w:r>
    </w:p>
    <w:p w14:paraId="55304EFE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22.高职名师工作室引领教师梯队建设与辐射效能研究</w:t>
      </w:r>
    </w:p>
    <w:p w14:paraId="6ACDF963">
      <w:pPr>
        <w:pStyle w:val="30"/>
        <w:adjustRightInd w:val="0"/>
        <w:snapToGrid w:val="0"/>
        <w:spacing w:after="0" w:line="600" w:lineRule="exact"/>
        <w:ind w:left="638" w:leftChars="304"/>
        <w:jc w:val="both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23.新时代高职青年教师队伍培养路径与成长机制研究</w:t>
      </w:r>
    </w:p>
    <w:p w14:paraId="2E4081D0">
      <w:pPr>
        <w:pStyle w:val="30"/>
        <w:adjustRightInd w:val="0"/>
        <w:snapToGrid w:val="0"/>
        <w:spacing w:after="0" w:line="600" w:lineRule="exact"/>
        <w:ind w:left="638" w:leftChars="304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24.高职院校教师数字化教学能力提升策略研究</w:t>
      </w:r>
    </w:p>
    <w:p w14:paraId="4A5F02D4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四、中小学教师队伍建设方向</w:t>
      </w:r>
    </w:p>
    <w:p w14:paraId="58E928A5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25.名校（园）长本土化成长路径与赋能机制研究</w:t>
      </w:r>
    </w:p>
    <w:p w14:paraId="53770AAA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26.中小学教师跨学科教学能力培养体系构建研究</w:t>
      </w:r>
    </w:p>
    <w:p w14:paraId="781F5C82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27.校本研修创新路径与实践样态研究</w:t>
      </w:r>
    </w:p>
    <w:p w14:paraId="38E01982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28.教师教育叙事赋能专业成长的行动实践研究</w:t>
      </w:r>
    </w:p>
    <w:p w14:paraId="45EA8706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pacing w:val="-6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29.</w:t>
      </w:r>
      <w:r>
        <w:rPr>
          <w:rFonts w:hint="eastAsia" w:ascii="仿宋_GB2312" w:hAnsi="宋体" w:eastAsia="仿宋_GB2312" w:cs="仿宋_GB2312"/>
          <w:spacing w:val="-6"/>
          <w:sz w:val="32"/>
          <w:szCs w:val="32"/>
        </w:rPr>
        <w:t>县中振兴背景下教师队伍专业发展支持体系建设研究</w:t>
      </w:r>
    </w:p>
    <w:p w14:paraId="22A54627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30.乡村（特岗）教师专业发展困境破解与支持策略研究</w:t>
      </w:r>
    </w:p>
    <w:p w14:paraId="24DF697C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</w:rPr>
      </w:pPr>
    </w:p>
    <w:p w14:paraId="3F3D314D">
      <w:pPr>
        <w:pStyle w:val="30"/>
        <w:adjustRightInd w:val="0"/>
        <w:snapToGrid w:val="0"/>
        <w:spacing w:after="0" w:line="60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color w:val="0000FF"/>
          <w:sz w:val="32"/>
          <w:szCs w:val="32"/>
        </w:rPr>
      </w:pPr>
    </w:p>
    <w:p w14:paraId="192BA452">
      <w:pPr>
        <w:pStyle w:val="30"/>
        <w:adjustRightInd w:val="0"/>
        <w:snapToGrid w:val="0"/>
        <w:spacing w:line="600" w:lineRule="exact"/>
        <w:ind w:left="0"/>
        <w:rPr>
          <w:rFonts w:hint="eastAsia" w:ascii="FZFangSongB-Z02" w:hAnsi="宋体" w:cs="仿宋_GB2312"/>
          <w:sz w:val="32"/>
          <w:szCs w:val="32"/>
        </w:rPr>
      </w:pPr>
    </w:p>
    <w:sectPr>
      <w:pgSz w:w="11906" w:h="16838"/>
      <w:pgMar w:top="1440" w:right="1746" w:bottom="99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FangSongB-Z02">
    <w:altName w:val="宋体"/>
    <w:panose1 w:val="00000000000000000000"/>
    <w:charset w:val="86"/>
    <w:family w:val="roman"/>
    <w:pitch w:val="default"/>
    <w:sig w:usb0="00000000" w:usb1="00000000" w:usb2="00000000" w:usb3="00000000" w:csb0="0010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51"/>
    <w:rsid w:val="0000792F"/>
    <w:rsid w:val="000608CD"/>
    <w:rsid w:val="0006209F"/>
    <w:rsid w:val="00063243"/>
    <w:rsid w:val="000A19C7"/>
    <w:rsid w:val="00160778"/>
    <w:rsid w:val="001B011B"/>
    <w:rsid w:val="00204928"/>
    <w:rsid w:val="00234BBA"/>
    <w:rsid w:val="00242E4D"/>
    <w:rsid w:val="00253395"/>
    <w:rsid w:val="00291604"/>
    <w:rsid w:val="00293E98"/>
    <w:rsid w:val="002A450C"/>
    <w:rsid w:val="002D4D8E"/>
    <w:rsid w:val="00305D03"/>
    <w:rsid w:val="00377FE9"/>
    <w:rsid w:val="003D4CCB"/>
    <w:rsid w:val="0041172A"/>
    <w:rsid w:val="004359CA"/>
    <w:rsid w:val="00466B0F"/>
    <w:rsid w:val="00505467"/>
    <w:rsid w:val="00540C78"/>
    <w:rsid w:val="005429C8"/>
    <w:rsid w:val="00621916"/>
    <w:rsid w:val="00653BB4"/>
    <w:rsid w:val="006C53D6"/>
    <w:rsid w:val="007A0F84"/>
    <w:rsid w:val="007A5DE5"/>
    <w:rsid w:val="007B02FE"/>
    <w:rsid w:val="007D0438"/>
    <w:rsid w:val="00890AB5"/>
    <w:rsid w:val="00890AF8"/>
    <w:rsid w:val="008B0C61"/>
    <w:rsid w:val="009231AB"/>
    <w:rsid w:val="009600DE"/>
    <w:rsid w:val="009917B1"/>
    <w:rsid w:val="00A176D3"/>
    <w:rsid w:val="00AC3A13"/>
    <w:rsid w:val="00B2032F"/>
    <w:rsid w:val="00B474D5"/>
    <w:rsid w:val="00BA742E"/>
    <w:rsid w:val="00BC7A93"/>
    <w:rsid w:val="00C44460"/>
    <w:rsid w:val="00C66BB4"/>
    <w:rsid w:val="00C97BE0"/>
    <w:rsid w:val="00CA5844"/>
    <w:rsid w:val="00CF0E51"/>
    <w:rsid w:val="00CF5BF4"/>
    <w:rsid w:val="00D04782"/>
    <w:rsid w:val="00D10AD1"/>
    <w:rsid w:val="00D63168"/>
    <w:rsid w:val="00DA6B69"/>
    <w:rsid w:val="00E058E8"/>
    <w:rsid w:val="00E3595E"/>
    <w:rsid w:val="00EF2194"/>
    <w:rsid w:val="00F02348"/>
    <w:rsid w:val="00F6271E"/>
    <w:rsid w:val="00FA3F55"/>
    <w:rsid w:val="00FD5206"/>
    <w:rsid w:val="00FD5B37"/>
    <w:rsid w:val="01FF18BF"/>
    <w:rsid w:val="024C064B"/>
    <w:rsid w:val="03C92C9B"/>
    <w:rsid w:val="0A7C541D"/>
    <w:rsid w:val="1FC32848"/>
    <w:rsid w:val="32CE3826"/>
    <w:rsid w:val="3EA36940"/>
    <w:rsid w:val="3F6B100B"/>
    <w:rsid w:val="4A4A2A12"/>
    <w:rsid w:val="652A399E"/>
    <w:rsid w:val="67E45BD5"/>
    <w:rsid w:val="6F2F3CD4"/>
    <w:rsid w:val="77FD5598"/>
    <w:rsid w:val="D41B72B6"/>
    <w:rsid w:val="ECD66340"/>
    <w:rsid w:val="FB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等线" w:hAnsi="等线" w:eastAsia="等线" w:cs="等线"/>
      <w:sz w:val="18"/>
      <w:szCs w:val="18"/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rFonts w:ascii="等线" w:hAnsi="等线" w:eastAsia="等线" w:cs="等线"/>
      <w:sz w:val="18"/>
      <w:szCs w:val="18"/>
      <w14:ligatures w14:val="none"/>
    </w:rPr>
  </w:style>
  <w:style w:type="character" w:customStyle="1" w:styleId="37">
    <w:name w:val="qowt-font4-gb231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437</Characters>
  <Lines>24</Lines>
  <Paragraphs>36</Paragraphs>
  <TotalTime>2</TotalTime>
  <ScaleCrop>false</ScaleCrop>
  <LinksUpToDate>false</LinksUpToDate>
  <CharactersWithSpaces>808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2026-05-14T14:16:00Z</dcterms:created>
  <dc:creator>lenovo</dc:creator>
  <cp:lastModifiedBy>user</cp:lastModifiedBy>
  <cp:lastPrinted>2026-05-12T11:08:00Z</cp:lastPrinted>
  <dcterms:modified xsi:type="dcterms:W3CDTF">2026-05-14T14:36:48Z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eyJoZGlkIjoiMDU5ZGM1NTRmYTM5NzgwNDllYWQzZTQ0MzQyMThjZDkiLCJ1c2VySWQiOiIxNzg4NDcwNTA2In0=</vt:lpwstr>
  </property>
  <property fmtid="{D5CDD505-2E9C-101B-9397-08002B2CF9AE}" pid="3" name="KSOProductBuildVer">
    <vt:lpwstr>2052-12.1.2.23578</vt:lpwstr>
  </property>
  <property fmtid="{D5CDD505-2E9C-101B-9397-08002B2CF9AE}" pid="4" name="ICV">
    <vt:lpwstr>86185FA2521B43E7A930964317F3580D_13</vt:lpwstr>
  </property>
</Properties>
</file>