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DB" w:rsidRPr="002862DB" w:rsidRDefault="002862DB" w:rsidP="002862DB">
      <w:pPr>
        <w:spacing w:line="600" w:lineRule="exact"/>
        <w:rPr>
          <w:rFonts w:ascii="黑体" w:eastAsia="黑体" w:hAnsi="黑体" w:cs="Times New Roman" w:hint="eastAsia"/>
          <w:sz w:val="32"/>
          <w:szCs w:val="32"/>
        </w:rPr>
      </w:pPr>
      <w:bookmarkStart w:id="0" w:name="_GoBack"/>
      <w:bookmarkEnd w:id="0"/>
    </w:p>
    <w:p w:rsidR="002862DB" w:rsidRPr="002862DB" w:rsidRDefault="002862DB" w:rsidP="002862DB">
      <w:pPr>
        <w:spacing w:line="60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2862DB">
        <w:rPr>
          <w:rFonts w:ascii="方正小标宋简体" w:eastAsia="方正小标宋简体" w:hAnsi="Calibri" w:cs="Times New Roman" w:hint="eastAsia"/>
          <w:sz w:val="36"/>
          <w:szCs w:val="36"/>
        </w:rPr>
        <w:t>20</w:t>
      </w:r>
      <w:r w:rsidRPr="002862DB">
        <w:rPr>
          <w:rFonts w:ascii="方正小标宋简体" w:eastAsia="方正小标宋简体" w:hAnsi="Calibri" w:cs="Times New Roman"/>
          <w:sz w:val="36"/>
          <w:szCs w:val="36"/>
        </w:rPr>
        <w:t>2</w:t>
      </w:r>
      <w:r w:rsidRPr="002862DB">
        <w:rPr>
          <w:rFonts w:ascii="方正小标宋简体" w:eastAsia="方正小标宋简体" w:hAnsi="Calibri" w:cs="Times New Roman" w:hint="eastAsia"/>
          <w:sz w:val="36"/>
          <w:szCs w:val="36"/>
        </w:rPr>
        <w:t>1年度国家社会科学基金艺术学项目课题指南</w:t>
      </w: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:rsidR="002862DB" w:rsidRPr="002862DB" w:rsidRDefault="002862DB" w:rsidP="002862DB">
      <w:pPr>
        <w:spacing w:line="600" w:lineRule="exact"/>
        <w:ind w:firstLineChars="200" w:firstLine="640"/>
        <w:rPr>
          <w:rFonts w:ascii="Calibri" w:eastAsia="宋体" w:hAnsi="Calibri" w:cs="Times New Roman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>艺术基础理论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习近平新时代中国特色社会主义文化艺术重要论述研究*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马克思主义艺术理论继承与发展研究*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中国共产党建党百年文艺创作研究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新时代文艺评论研究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中国传统艺术创造性转化与创新性发展研究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艺术学理论学科发展研究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中国少数民族艺术观念研究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中国传统艺术观念研究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中国现当代艺术观念研究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文化自信与新时代文艺发展研究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中外艺术比较研究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民间艺术研究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艺术创作理论问题研究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中国艺术史（含断代、专题、区域）研究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中国艺术批评史（含断代、专题）研究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流行艺术研究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外国艺术理论研究*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艺术</w:t>
      </w:r>
      <w:r w:rsidRPr="002862DB">
        <w:rPr>
          <w:rFonts w:ascii="仿宋_GB2312" w:eastAsia="仿宋_GB2312" w:hAnsi="仿宋_GB2312" w:cs="仿宋_GB2312"/>
          <w:sz w:val="32"/>
          <w:szCs w:val="32"/>
        </w:rPr>
        <w:t>跨门类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、跨学科研究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当代中国艺术伦理问题研究*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艺术与科技关系问题研究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新媒介与文艺创作及批评研究*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中国古典艺术理论文献外译、传播与接受问题研究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艺术政策、法律法规问题研究</w:t>
      </w: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>戏剧（含戏曲、话剧、歌剧、音乐剧、曲艺、木偶、皮影）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中国少数民族戏剧研究*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中国戏剧艺术家研究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戏剧作家作品研究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戏剧舞台美术研究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戏剧表演艺术研究*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戏剧导演艺术研究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戏曲（曲艺）音乐研究*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戏曲文献整理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与</w:t>
      </w:r>
      <w:r w:rsidRPr="002862DB">
        <w:rPr>
          <w:rFonts w:ascii="仿宋_GB2312" w:eastAsia="仿宋_GB2312" w:hAnsi="仿宋_GB2312" w:cs="仿宋_GB2312"/>
          <w:sz w:val="32"/>
          <w:szCs w:val="32"/>
        </w:rPr>
        <w:t>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戏曲文物研究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剧种史研究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地方戏曲与地域文化关系研究*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歌剧研究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音乐剧研究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中国话剧史论研究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中国戏剧批评史论研究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戏剧接受与传播研究*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戏剧产业与市场研究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戏剧管理研究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曲种研究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曲艺文献整理与研究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曲艺艺术研究*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曲艺发展与传播研究*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木偶戏、皮影戏研究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儿童剧研究*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新媒体技术与戏剧艺术创新发展研究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景观剧研究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“一带一路”国家戏剧研究*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中国戏剧域外传播研究*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国别戏剧研究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百年中国戏剧文化史研究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2862DB" w:rsidRPr="002862DB" w:rsidRDefault="002862DB" w:rsidP="002862DB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>电影、广播电视及新媒体艺术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新时代中国影视创作理论与美学研究*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“一带一路”背景下中外影视合作与交流研究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影视如何讲好中国故事研究*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pacing w:val="-6"/>
          <w:sz w:val="32"/>
          <w:szCs w:val="32"/>
        </w:rPr>
        <w:t>电影学、广播电视艺术学的学科现状与前沿问题研究*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电影、广播电视及新媒体艺术的跨学科比较研究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中国电影、电视剧创作现状与传播方式创新研究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中国影视动画创作及理论研究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外国电影、电视剧艺术创作及理论研究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 w:hint="eastAsia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中国电影专业史、专题史研究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1276" w:hanging="70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中国电影家、艺术家、事业家、企业家、理论家研究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中国类型电影、类型电视剧研究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影视技术与艺术融合创新研究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新时代影视批评研究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“互联网+”发展模式对电影创作及产业的影响研究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中国影视产业历史与现状研究*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1276" w:hanging="70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中国影视、动漫、新媒体艺术与产业国际影响力研究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网络电影、网络剧与网络综艺现状及发展研究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影视观众心理研究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中外电影院线建设与影院运营模式比较研究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中外电影市场的大数据建设研究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中国纪录片现状与发展研究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当代中国娱乐节目的文化价值导向及传播研究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媒介融合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下中国播音主持艺术发展创新研究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媒介融合环境下的广播艺术发展研究*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媒介融合环境下的电视艺术发展研究*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中国艺术电影创作与市场发展研究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中国影视人才培养现状及发展研究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新环境下传媒艺术发展理论与实践*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移动短视频现状与发展研究*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残障群体影视文化服务研究*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VR、AR、MR对影视创作及产业的影响研究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人工智能在影视产业的应用研究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虚拟播音主持研究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中国电影产业的标准体系研究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现实主义题材电影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2862DB">
        <w:rPr>
          <w:rFonts w:ascii="仿宋_GB2312" w:eastAsia="仿宋_GB2312" w:hAnsi="仿宋_GB2312" w:cs="仿宋_GB2312"/>
          <w:sz w:val="32"/>
          <w:szCs w:val="32"/>
        </w:rPr>
        <w:t>电视剧研究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影视音乐的民族化追求与国际化传播</w:t>
      </w:r>
    </w:p>
    <w:p w:rsidR="002862DB" w:rsidRPr="002862DB" w:rsidRDefault="002862DB" w:rsidP="002862DB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862DB" w:rsidRPr="002862DB" w:rsidRDefault="002862DB" w:rsidP="002862D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>音乐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中华优秀传统音乐文化的传承与创新研究*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红色音乐文化研究*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丝绸之路音乐文献整理与研究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音乐学的学科现状与前沿问题研究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中外音乐文化比较研究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中外音乐表演理论与实践研究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中华音乐文化海外传播、传承研究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音乐批评的理论研究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中国音乐断代史专题史研究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中国近现代音乐史研究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中国音乐史学史研究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中国音乐学术史研究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中国音乐美学史研究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中国音乐口述史研究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中国古代音乐文献研究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区域音乐研究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中国声乐研究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中国器乐研究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音乐基础理论研究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现当代作曲技术理论研究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中国当代歌剧音乐创作研究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中国当代流行音乐创作的民族化研究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20世纪中国音乐家研究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中国当代音乐作品与作曲家研究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舞蹈（舞剧）音乐研究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影视音乐研究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音乐社会学研究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音乐生态研究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音乐传播研究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音乐科技研究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音乐产业研究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西方音乐研究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世界民族音乐研究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网络音乐研究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中国传统音乐形态研究</w:t>
      </w:r>
    </w:p>
    <w:p w:rsidR="002862DB" w:rsidRPr="002862DB" w:rsidRDefault="002862DB" w:rsidP="002862DB">
      <w:pPr>
        <w:tabs>
          <w:tab w:val="left" w:pos="0"/>
        </w:tabs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:rsidR="002862DB" w:rsidRPr="002862DB" w:rsidRDefault="002862DB" w:rsidP="002862DB">
      <w:pPr>
        <w:tabs>
          <w:tab w:val="left" w:pos="0"/>
        </w:tabs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>舞蹈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舞蹈基础理论研究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舞蹈应用理论研究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中国舞蹈史研究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“一带一路”舞蹈文化研究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中国民族民间舞蹈研究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中国跨区域舞蹈研究*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中国舞蹈创作与表演研究*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中国当代舞剧研究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新舞蹈群体和舞蹈人才研究*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舞蹈著作权研究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群众舞蹈创作与活动研究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旅游视域中的舞蹈文化研究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外国舞蹈文化研究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中外舞蹈交流研究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舞蹈文化跨学科研究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舞蹈创作中的多媒体技术研究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中国杂技基础理论研究*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中国杂技艺术史研究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当代杂技创作研究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中外杂技交流研究</w:t>
      </w: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 xml:space="preserve">美术    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美术交流与人类命运共同体建构研究*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全球视野中的中国美术研究*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中国美术史专题研究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中国美术史学史研究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外国美术史研究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中外美术交流与比较研究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中国古代视觉文化研究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中国古代书论画论研究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中国雕塑专题研究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中国书法专题研究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中国建筑专题研究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摄影艺术研究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插画漫画艺术研究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网络美术传播研究*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中国近现代美术研究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国际当代艺术研究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中国当代艺术研究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现实主义美术研究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革命题材美术作品研究*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中外现当代艺术理论研究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中外美术批评史研究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美术馆与艺术行政研究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中外艺术市场及政策法规研究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中外艺术赞助与收藏机制研究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美术策展人才培养机制研究*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海外中国艺术品状况调查与研究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“</w:t>
      </w:r>
      <w:r w:rsidRPr="002862DB">
        <w:rPr>
          <w:rFonts w:ascii="仿宋_GB2312" w:eastAsia="仿宋_GB2312" w:hAnsi="仿宋_GB2312" w:cs="仿宋_GB2312"/>
          <w:sz w:val="32"/>
          <w:szCs w:val="32"/>
        </w:rPr>
        <w:t>一带一路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”</w:t>
      </w:r>
      <w:r w:rsidRPr="002862DB">
        <w:rPr>
          <w:rFonts w:ascii="仿宋_GB2312" w:eastAsia="仿宋_GB2312" w:hAnsi="仿宋_GB2312" w:cs="仿宋_GB2312"/>
          <w:sz w:val="32"/>
          <w:szCs w:val="32"/>
        </w:rPr>
        <w:t>中国美术传播与发展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中国美术话语现代转型研究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东南亚美术研究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长城美术研究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美术馆展览序列研究</w:t>
      </w: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>设计艺术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中国艺术设计产业发展研究*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设计推动新农村建设策略与方法研究*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基于新技术的文化产品设计研究*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基于传统技艺的创新设计研究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中国设计思想及设计理论研究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中国传统纹样研究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中国传统营造的文化价值研究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中国传统服装服饰研究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城市公共环境景观设计研究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室内设计理论与实践研究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中外工艺美术史及专题研究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中国艺术设计史及专题研究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中国设计哲学、伦理学理论研究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工艺美术批评理论研究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设计批评理论研究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中国民间工艺研究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设计政策研究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中国服务设计创新发展策略研究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基于信息技术的新媒体艺术设计研究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中国互联网信息平台创新设计研究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中外设计交流研究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城市更新策略背景下工业遗产建筑再设计研究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 xml:space="preserve">中国传统工艺研究 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交互设计应用研究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中国陶瓷艺术研究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中国家具设计研究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中国动漫游戏产品设计研究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为弱势人群服务设计研究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旅游文创产品设计研究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智能制造设计研究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外国当代设计理论及实践研究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中外工艺美术比较研究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中外设计比较研究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国家形象设计研究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美好生活设计研究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防疫产品设计研究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lastRenderedPageBreak/>
        <w:t>运河文化与传统手工艺研究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黄河文化与乡土工艺研究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国家文化公园设计研究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2862DB" w:rsidRPr="002862DB" w:rsidRDefault="002862DB" w:rsidP="002862DB">
      <w:pPr>
        <w:tabs>
          <w:tab w:val="left" w:pos="0"/>
        </w:tabs>
        <w:spacing w:line="600" w:lineRule="exact"/>
        <w:ind w:left="8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>综合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推进文化和旅游治理体系和治理能力现代化研究*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文化和旅游融合发展研究*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黄河流域文化和旅游区域协同发展研究*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增强中华文化认同的路径研究*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建党百年红色文化研究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文艺作品践行社会主义核心价值观研究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文化强国指标体系研究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新时代构建人类命运共同体的文明对话研究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网络文化安全问题研究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“资源枯竭型城市”文化和旅游产业发展研究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国有艺术院团管理运营机制研究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国有文化企业“双效统一”评价体系研究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促进数字创意产业发展的政策研究*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文化文物单位文化创意产品开发研究*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文化和旅游市场管理政策研究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文化和旅游公共服务绩效评价研究*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文化和旅游公共服务体系高质量发展研究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乡村振兴战略中的文化和旅游发展研究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非物质文化遗产保护与传承发展研究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中华优秀传统文化创造性转化与创新性发展研究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文化艺术作品的知识产权问题研究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艺术产品的产权交易研究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大众流行文化消费研究*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 xml:space="preserve"> “互联网+”文化产业商业模式创新研究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区域特色文化产业发展研究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网络文化对生活方式的影响研究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优秀艺术作品传播平台与载体建设研究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对外文化交流项目绩效评估研究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文化和旅游服务贸易研究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1276" w:hanging="70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非物质文化遗产保护和利用的海外经验和经典案例研究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世界各国文化和旅游法律、政策比较研究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世界文化思潮及文化热点问题研究</w:t>
      </w:r>
    </w:p>
    <w:p w:rsidR="002862DB" w:rsidRPr="002862DB" w:rsidRDefault="002862DB" w:rsidP="002862DB">
      <w:pPr>
        <w:spacing w:line="600" w:lineRule="exact"/>
        <w:rPr>
          <w:rFonts w:ascii="Calibri" w:eastAsia="宋体" w:hAnsi="Calibri" w:cs="Times New Roman"/>
          <w:szCs w:val="24"/>
        </w:rPr>
      </w:pPr>
    </w:p>
    <w:p w:rsidR="002862DB" w:rsidRPr="002862DB" w:rsidRDefault="002862DB" w:rsidP="002862DB">
      <w:pPr>
        <w:spacing w:line="600" w:lineRule="exact"/>
        <w:rPr>
          <w:rFonts w:ascii="Calibri" w:eastAsia="宋体" w:hAnsi="Calibri" w:cs="Times New Roman"/>
          <w:szCs w:val="24"/>
        </w:rPr>
      </w:pPr>
    </w:p>
    <w:p w:rsidR="002862DB" w:rsidRPr="002862DB" w:rsidRDefault="002862DB" w:rsidP="002862DB">
      <w:pPr>
        <w:snapToGrid w:val="0"/>
        <w:spacing w:line="500" w:lineRule="exact"/>
        <w:ind w:right="314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2862DB" w:rsidRPr="002862DB" w:rsidRDefault="002862DB" w:rsidP="002862DB">
      <w:pPr>
        <w:snapToGrid w:val="0"/>
        <w:spacing w:line="500" w:lineRule="exact"/>
        <w:ind w:right="314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2862DB" w:rsidRPr="002862DB" w:rsidRDefault="002862DB" w:rsidP="002862DB">
      <w:pPr>
        <w:snapToGrid w:val="0"/>
        <w:spacing w:line="500" w:lineRule="exact"/>
        <w:ind w:right="314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2862DB" w:rsidRPr="002862DB" w:rsidRDefault="002862DB" w:rsidP="002862DB">
      <w:pPr>
        <w:snapToGrid w:val="0"/>
        <w:spacing w:line="500" w:lineRule="exact"/>
        <w:ind w:right="314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2862DB" w:rsidRPr="002862DB" w:rsidRDefault="002862DB" w:rsidP="002862DB">
      <w:pPr>
        <w:snapToGrid w:val="0"/>
        <w:spacing w:line="500" w:lineRule="exact"/>
        <w:ind w:right="314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2862DB" w:rsidRPr="002862DB" w:rsidRDefault="002862DB" w:rsidP="002862DB">
      <w:pPr>
        <w:rPr>
          <w:rFonts w:ascii="Calibri" w:eastAsia="宋体" w:hAnsi="Calibri" w:cs="Times New Roman"/>
          <w:szCs w:val="24"/>
        </w:rPr>
      </w:pPr>
    </w:p>
    <w:p w:rsidR="009A1957" w:rsidRPr="002862DB" w:rsidRDefault="009A1957"/>
    <w:sectPr w:rsidR="009A1957" w:rsidRPr="002862D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203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455" w:hanging="420"/>
      </w:pPr>
    </w:lvl>
    <w:lvl w:ilvl="2">
      <w:start w:val="1"/>
      <w:numFmt w:val="lowerRoman"/>
      <w:lvlText w:val="%3."/>
      <w:lvlJc w:val="right"/>
      <w:pPr>
        <w:ind w:left="2875" w:hanging="420"/>
      </w:pPr>
    </w:lvl>
    <w:lvl w:ilvl="3">
      <w:start w:val="1"/>
      <w:numFmt w:val="decimal"/>
      <w:lvlText w:val="%4."/>
      <w:lvlJc w:val="left"/>
      <w:pPr>
        <w:ind w:left="3295" w:hanging="420"/>
      </w:pPr>
    </w:lvl>
    <w:lvl w:ilvl="4">
      <w:start w:val="1"/>
      <w:numFmt w:val="lowerLetter"/>
      <w:lvlText w:val="%5)"/>
      <w:lvlJc w:val="left"/>
      <w:pPr>
        <w:ind w:left="3715" w:hanging="420"/>
      </w:pPr>
    </w:lvl>
    <w:lvl w:ilvl="5">
      <w:start w:val="1"/>
      <w:numFmt w:val="lowerRoman"/>
      <w:lvlText w:val="%6."/>
      <w:lvlJc w:val="right"/>
      <w:pPr>
        <w:ind w:left="4135" w:hanging="420"/>
      </w:pPr>
    </w:lvl>
    <w:lvl w:ilvl="6">
      <w:start w:val="1"/>
      <w:numFmt w:val="decimal"/>
      <w:lvlText w:val="%7."/>
      <w:lvlJc w:val="left"/>
      <w:pPr>
        <w:ind w:left="4555" w:hanging="420"/>
      </w:pPr>
    </w:lvl>
    <w:lvl w:ilvl="7">
      <w:start w:val="1"/>
      <w:numFmt w:val="lowerLetter"/>
      <w:lvlText w:val="%8)"/>
      <w:lvlJc w:val="left"/>
      <w:pPr>
        <w:ind w:left="4975" w:hanging="420"/>
      </w:pPr>
    </w:lvl>
    <w:lvl w:ilvl="8">
      <w:start w:val="1"/>
      <w:numFmt w:val="lowerRoman"/>
      <w:lvlText w:val="%9."/>
      <w:lvlJc w:val="right"/>
      <w:pPr>
        <w:ind w:left="5395" w:hanging="420"/>
      </w:pPr>
    </w:lvl>
  </w:abstractNum>
  <w:abstractNum w:abstractNumId="5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22"/>
    <w:rsid w:val="002862DB"/>
    <w:rsid w:val="007E1D5A"/>
    <w:rsid w:val="0082391B"/>
    <w:rsid w:val="009A1957"/>
    <w:rsid w:val="00AF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2021-01-19T07:18:00Z</dcterms:created>
  <dcterms:modified xsi:type="dcterms:W3CDTF">2021-01-19T07:18:00Z</dcterms:modified>
</cp:coreProperties>
</file>