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sz w:val="44"/>
          <w:szCs w:val="44"/>
        </w:rPr>
      </w:pPr>
      <w:r>
        <w:rPr>
          <w:rFonts w:hint="eastAsia" w:ascii="黑体" w:hAnsi="黑体" w:eastAsia="黑体" w:cs="黑体"/>
          <w:b w:val="0"/>
          <w:bCs/>
          <w:sz w:val="44"/>
          <w:szCs w:val="44"/>
          <w:lang w:val="en-US" w:eastAsia="zh-CN"/>
        </w:rPr>
        <w:t>辽宁传媒学院2021年度</w:t>
      </w:r>
      <w:r>
        <w:rPr>
          <w:rFonts w:hint="eastAsia" w:ascii="黑体" w:hAnsi="黑体" w:eastAsia="黑体" w:cs="黑体"/>
          <w:b w:val="0"/>
          <w:bCs/>
          <w:sz w:val="44"/>
          <w:szCs w:val="44"/>
        </w:rPr>
        <w:t>师德师风</w:t>
      </w:r>
    </w:p>
    <w:p>
      <w:pPr>
        <w:jc w:val="center"/>
        <w:rPr>
          <w:rFonts w:hint="eastAsia" w:ascii="黑体" w:hAnsi="黑体" w:eastAsia="黑体" w:cs="黑体"/>
          <w:b w:val="0"/>
          <w:bCs/>
          <w:sz w:val="44"/>
          <w:szCs w:val="44"/>
        </w:rPr>
      </w:pPr>
      <w:r>
        <w:rPr>
          <w:rFonts w:hint="eastAsia" w:ascii="黑体" w:hAnsi="黑体" w:eastAsia="黑体" w:cs="黑体"/>
          <w:b w:val="0"/>
          <w:bCs/>
          <w:sz w:val="44"/>
          <w:szCs w:val="44"/>
        </w:rPr>
        <w:t>建设工作计划</w:t>
      </w:r>
    </w:p>
    <w:p>
      <w:pPr>
        <w:jc w:val="center"/>
        <w:rPr>
          <w:rFonts w:hint="eastAsia" w:ascii="黑体" w:hAnsi="黑体" w:eastAsia="黑体" w:cs="黑体"/>
          <w:b w:val="0"/>
          <w:bCs/>
          <w:sz w:val="44"/>
          <w:szCs w:val="44"/>
        </w:rPr>
      </w:pPr>
    </w:p>
    <w:p>
      <w:pPr>
        <w:pStyle w:val="8"/>
        <w:numPr>
          <w:ilvl w:val="0"/>
          <w:numId w:val="1"/>
        </w:numPr>
        <w:ind w:firstLineChars="0"/>
        <w:jc w:val="left"/>
        <w:rPr>
          <w:rFonts w:hint="eastAsia" w:ascii="黑体" w:hAnsi="黑体" w:eastAsia="黑体" w:cs="黑体"/>
          <w:sz w:val="30"/>
          <w:szCs w:val="30"/>
        </w:rPr>
      </w:pPr>
      <w:r>
        <w:rPr>
          <w:rFonts w:hint="eastAsia" w:ascii="黑体" w:hAnsi="黑体" w:eastAsia="黑体" w:cs="黑体"/>
          <w:b/>
          <w:sz w:val="30"/>
          <w:szCs w:val="30"/>
        </w:rPr>
        <w:t>指导思想</w:t>
      </w:r>
      <w:r>
        <w:rPr>
          <w:rFonts w:hint="eastAsia" w:ascii="黑体" w:hAnsi="黑体" w:eastAsia="黑体" w:cs="黑体"/>
          <w:sz w:val="30"/>
          <w:szCs w:val="30"/>
        </w:rPr>
        <w:t> </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为建立健全学校师德建设长效机制，切实提升教师师德素养，全面提高学校师德建设水平，根据《中华人民共和国教师法》、《教育部关于建立健全高校师德建设长效机制的意见》、《教育部关于高校教师师德失范行为处理的指导意见》、《教育部新时代高校教师职业行为十项准则》等有关规定，扎实开展师德师风建设活动，结合</w:t>
      </w:r>
      <w:r>
        <w:rPr>
          <w:rFonts w:hint="eastAsia" w:ascii="仿宋" w:hAnsi="仿宋" w:eastAsia="仿宋" w:cs="仿宋"/>
          <w:sz w:val="30"/>
          <w:szCs w:val="30"/>
          <w:lang w:val="en-US" w:eastAsia="zh-CN"/>
        </w:rPr>
        <w:t>学校年度工作任务目标</w:t>
      </w:r>
      <w:r>
        <w:rPr>
          <w:rFonts w:hint="eastAsia" w:ascii="仿宋" w:hAnsi="仿宋" w:eastAsia="仿宋" w:cs="仿宋"/>
          <w:sz w:val="30"/>
          <w:szCs w:val="30"/>
        </w:rPr>
        <w:t>，特制订本</w:t>
      </w:r>
      <w:r>
        <w:rPr>
          <w:rFonts w:hint="eastAsia" w:ascii="仿宋" w:hAnsi="仿宋" w:eastAsia="仿宋" w:cs="仿宋"/>
          <w:sz w:val="30"/>
          <w:szCs w:val="30"/>
          <w:lang w:val="en-US" w:eastAsia="zh-CN"/>
        </w:rPr>
        <w:t>工作</w:t>
      </w:r>
      <w:r>
        <w:rPr>
          <w:rFonts w:hint="eastAsia" w:ascii="仿宋" w:hAnsi="仿宋" w:eastAsia="仿宋" w:cs="仿宋"/>
          <w:sz w:val="30"/>
          <w:szCs w:val="30"/>
        </w:rPr>
        <w:t>计划。 </w:t>
      </w:r>
    </w:p>
    <w:p>
      <w:pPr>
        <w:pStyle w:val="8"/>
        <w:numPr>
          <w:ilvl w:val="0"/>
          <w:numId w:val="1"/>
        </w:numPr>
        <w:ind w:firstLineChars="0"/>
        <w:jc w:val="left"/>
        <w:rPr>
          <w:rFonts w:hint="eastAsia" w:ascii="黑体" w:hAnsi="黑体" w:eastAsia="黑体" w:cs="黑体"/>
          <w:b/>
          <w:sz w:val="30"/>
          <w:szCs w:val="30"/>
        </w:rPr>
      </w:pPr>
      <w:r>
        <w:rPr>
          <w:rFonts w:hint="eastAsia" w:ascii="黑体" w:hAnsi="黑体" w:eastAsia="黑体" w:cs="黑体"/>
          <w:b/>
          <w:sz w:val="30"/>
          <w:szCs w:val="30"/>
        </w:rPr>
        <w:t>工作目标 </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eastAsia="仿宋"/>
          <w:sz w:val="32"/>
          <w:szCs w:val="32"/>
          <w:lang w:val="en-US" w:eastAsia="zh-CN"/>
        </w:rPr>
      </w:pPr>
      <w:r>
        <w:rPr>
          <w:rFonts w:hint="eastAsia" w:ascii="仿宋" w:hAnsi="仿宋" w:eastAsia="仿宋" w:cs="仿宋"/>
          <w:sz w:val="30"/>
          <w:szCs w:val="30"/>
        </w:rPr>
        <w:t>以榜样教育，自我教育、自我修炼为主导，激励教师爱岗敬业、热爱学生、为人师表，使教师思想适应素质教育和课改要求，全面提高教师的师德水平，努力建设一支政治思想强，工作作风硬，教学业绩、综合素质高的教师队伍，从而塑造教师良好形象。全面落实“两优化”：师德师风进一步优化, 引导教师把教书育人和自我修养结合起来，做到以德立身、以德立学、以德施教。教风校风进一步优化，使学校成为教学质量一流、学生能力突出、办学特色鲜明、社会满意、家长放心的高等教育人才培养基地。努力实现“四提升”：师德形象进一步提升，职业能力进一步提升、教学质量进一步提升、</w:t>
      </w:r>
      <w:r>
        <w:rPr>
          <w:rFonts w:hint="eastAsia" w:ascii="仿宋" w:hAnsi="仿宋" w:eastAsia="仿宋" w:cs="仿宋"/>
          <w:sz w:val="30"/>
          <w:szCs w:val="30"/>
          <w:lang w:val="en-US" w:eastAsia="zh-CN"/>
        </w:rPr>
        <w:t>学生</w:t>
      </w:r>
      <w:r>
        <w:rPr>
          <w:rFonts w:hint="eastAsia" w:ascii="仿宋" w:hAnsi="仿宋" w:eastAsia="仿宋" w:cs="仿宋"/>
          <w:sz w:val="30"/>
          <w:szCs w:val="30"/>
        </w:rPr>
        <w:t>就业</w:t>
      </w:r>
      <w:r>
        <w:rPr>
          <w:rFonts w:hint="eastAsia" w:ascii="仿宋" w:hAnsi="仿宋" w:eastAsia="仿宋" w:cs="仿宋"/>
          <w:sz w:val="30"/>
          <w:szCs w:val="30"/>
          <w:lang w:val="en-US" w:eastAsia="zh-CN"/>
        </w:rPr>
        <w:t>质量</w:t>
      </w:r>
      <w:r>
        <w:rPr>
          <w:rFonts w:hint="eastAsia" w:ascii="仿宋" w:hAnsi="仿宋" w:eastAsia="仿宋" w:cs="仿宋"/>
          <w:sz w:val="30"/>
          <w:szCs w:val="30"/>
        </w:rPr>
        <w:t>进一步提升。</w:t>
      </w:r>
      <w:r>
        <w:rPr>
          <w:rFonts w:hint="eastAsia" w:ascii="仿宋" w:hAnsi="仿宋" w:eastAsia="仿宋" w:cs="仿宋"/>
          <w:sz w:val="30"/>
          <w:szCs w:val="30"/>
          <w:lang w:val="en-US" w:eastAsia="zh-CN"/>
        </w:rPr>
        <w:t>确保全年、全员参加师德师风建设活动，</w:t>
      </w:r>
      <w:bookmarkStart w:id="0" w:name="_GoBack"/>
      <w:bookmarkEnd w:id="0"/>
      <w:r>
        <w:rPr>
          <w:rFonts w:hint="eastAsia" w:ascii="仿宋" w:hAnsi="仿宋" w:eastAsia="仿宋" w:cs="仿宋"/>
          <w:sz w:val="30"/>
          <w:szCs w:val="30"/>
          <w:lang w:val="en-US" w:eastAsia="zh-CN"/>
        </w:rPr>
        <w:t>全年力争教师获得市级以上师德师风奖项3人次以上，教师违反师德行为规范为零。</w:t>
      </w:r>
    </w:p>
    <w:p>
      <w:pPr>
        <w:pStyle w:val="8"/>
        <w:numPr>
          <w:ilvl w:val="0"/>
          <w:numId w:val="1"/>
        </w:numPr>
        <w:ind w:firstLineChars="0"/>
        <w:jc w:val="left"/>
        <w:rPr>
          <w:rFonts w:hint="eastAsia" w:ascii="黑体" w:hAnsi="黑体" w:eastAsia="黑体" w:cs="黑体"/>
          <w:b/>
          <w:sz w:val="30"/>
          <w:szCs w:val="30"/>
        </w:rPr>
      </w:pPr>
      <w:r>
        <w:rPr>
          <w:rFonts w:hint="eastAsia" w:ascii="黑体" w:hAnsi="黑体" w:eastAsia="黑体" w:cs="黑体"/>
          <w:b/>
          <w:sz w:val="30"/>
          <w:szCs w:val="30"/>
        </w:rPr>
        <w:t>主要措施</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（一）推进全员师德培训</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开展全员师德学习教育，引导教师坚定信念，做好学生的引路人。将师德教育贯穿于教师职业生涯的全过程。积极开设新教师师德教育岗前专题培训，每年依托教务处网络平台组织“师德专题网络培训”、“师德论坛”等活动，每</w:t>
      </w:r>
      <w:r>
        <w:rPr>
          <w:rFonts w:hint="eastAsia" w:ascii="仿宋" w:hAnsi="仿宋" w:eastAsia="仿宋" w:cs="仿宋"/>
          <w:sz w:val="30"/>
          <w:szCs w:val="30"/>
          <w:lang w:val="en-US" w:eastAsia="zh-CN"/>
        </w:rPr>
        <w:t>学期</w:t>
      </w:r>
      <w:r>
        <w:rPr>
          <w:rFonts w:hint="eastAsia" w:ascii="仿宋" w:hAnsi="仿宋" w:eastAsia="仿宋" w:cs="仿宋"/>
          <w:sz w:val="30"/>
          <w:szCs w:val="30"/>
        </w:rPr>
        <w:t>举行新教师入职宣誓仪式，寓师德教育于各项具体活动之中，增强师德教育的全员参与性，激发全校教师的职业自豪感、荣誉感和使命感，使他们热爱教师职业，树立崇高师德。</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（二）开展职业理想教育</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开展教风建设活动月，多形式引导教师增强爱岗敬业责任感。组织系列师德理论宣讲活动，系统宣讲与国家教育政策法规文件中有关师德建设的内容，宣传普及《高校教师职业道德规范》、《员工手册》，广泛宣传“志存高远，德能日进”的校训以及优良办学传统，树立师德建设的正确导向。</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（三）促进师德师能提质</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通过座谈、讲座、分享会等形式，引导教师端师风、强师德、提师能。学习教育典型人物，用身边优秀教师的感人事迹诠释师德内涵，以师德标杆楷模为榜样，培养教师德性修养的主体意识，形成优良的教师风范，促进教师能力的全面发展，提高教师队伍的道德情操和精神追求。</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（四）强化职业标准规范</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以教育部《新时代高校教师职业行为十项准则》、“红七条”和《辽宁传媒学院教师课堂教学工作规范二十条》等职业规范，作为衡量教师行为的标准。系统学习《教育法》、《高等教育法》、《教师法》等法规文件中有关师德的要求，宣传普及《高校教师职业道德规范》。</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（五）建立监督考核制度</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修订完善相关规章制度，使全校师德师风建设走上制度化、规范化、常态化。</w:t>
      </w:r>
      <w:r>
        <w:rPr>
          <w:rFonts w:hint="eastAsia" w:ascii="仿宋" w:hAnsi="仿宋" w:eastAsia="仿宋" w:cs="仿宋"/>
          <w:sz w:val="30"/>
          <w:szCs w:val="30"/>
          <w:lang w:val="en-US" w:eastAsia="zh-CN"/>
        </w:rPr>
        <w:t>组织全体专兼职教师</w:t>
      </w:r>
      <w:r>
        <w:rPr>
          <w:rFonts w:hint="eastAsia" w:ascii="仿宋" w:hAnsi="仿宋" w:eastAsia="仿宋" w:cs="仿宋"/>
          <w:sz w:val="30"/>
          <w:szCs w:val="30"/>
        </w:rPr>
        <w:t>签订《师德师风承诺书》，接受师德师风的监督考核。推行负面清单制度，将师德表现纳入年度考核，实行一票否决制。将师德考核纳入教师教育教学、职务晋升、岗位聘用、评优奖励等各项工作中。在教师360考核中加强师德考核，</w:t>
      </w:r>
      <w:r>
        <w:rPr>
          <w:rFonts w:hint="eastAsia" w:ascii="仿宋" w:hAnsi="仿宋" w:eastAsia="仿宋" w:cs="仿宋"/>
          <w:sz w:val="30"/>
          <w:szCs w:val="30"/>
          <w:lang w:val="en-US" w:eastAsia="zh-CN"/>
        </w:rPr>
        <w:t>增加</w:t>
      </w:r>
      <w:r>
        <w:rPr>
          <w:rFonts w:hint="eastAsia" w:ascii="仿宋" w:hAnsi="仿宋" w:eastAsia="仿宋" w:cs="仿宋"/>
          <w:sz w:val="30"/>
          <w:szCs w:val="30"/>
        </w:rPr>
        <w:t>教师师德述职环节。在新教师选聘、试用、转正和续聘中，把教师责任心、教书育人作为重要参考，坚持职业素质和品德修养综合考核，把政治素质、道德修养、品行表现作为重要考察内容，确保选聘教师政治方向正确、道德品质优秀、业务素质精良。学校将每位教师师德教育、受表彰或奖惩等表现情况记入教师工作业绩，作为师德考核的重要依据。各学院开展的相关活动要及时备案存档。通过建立师德信息平台、组织召开专题座谈会、定期开展专项检查等方式，搭建沟通交流平台，及时掌握师德建设动态，及时纠正不良倾向和发现的问题。认真贯彻落实《教育部关于严肃处理高等学校学术不端行为的通知》和《辽宁传媒学院学术道德行为规范及学术不端行为处理规定》等文件精神，引导全校教师秉持学术良知，恪守学术道德，维护学术尊严，坚决抵制学术失范和学术不端行为。</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（六）选树师德先进典型</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选树先进典型，宣传先进事迹，诠释师德内涵，展示师德风范。培育和宣传师德典型，坚持开展“</w:t>
      </w:r>
      <w:r>
        <w:rPr>
          <w:rFonts w:hint="eastAsia" w:ascii="仿宋" w:hAnsi="仿宋" w:eastAsia="仿宋" w:cs="仿宋"/>
          <w:sz w:val="30"/>
          <w:szCs w:val="30"/>
          <w:lang w:val="en-US" w:eastAsia="zh-CN"/>
        </w:rPr>
        <w:t>育人先进个人</w:t>
      </w:r>
      <w:r>
        <w:rPr>
          <w:rFonts w:hint="eastAsia" w:ascii="仿宋" w:hAnsi="仿宋" w:eastAsia="仿宋" w:cs="仿宋"/>
          <w:sz w:val="30"/>
          <w:szCs w:val="30"/>
        </w:rPr>
        <w:t>”等评选活动，树立师德示范典型，组织师德建设经验交流会，展现师德示范典型的良好师德师风，为学校师德建设工作提供正能量，激励全校教师自觉遵守教师职业道德，争当师德建设先进典型。营造师德建设文化氛围，宣传师德榜样事迹，警示师德失范行为，积极营造崇尚师德风范、争创师德典型的文化氛围。拓展师德宣传媒介，拓展学校广播电台、网络平台等媒体在师德宣传方面的功能，构建师德宣传、学习、交流的综合性平台。</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（七）拓展师德监督渠道</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构建多方参与的师德监督体系，充分发挥各方的监督警戒作用。健全举报受理机制，及时掌握师德信息动态。加大督查督办力度，构建学校、教师、学生、家长和社会多方参与的师德监督体系。不断完善教师同行听课制度、教学督导制度、学生评教制度、社会监督制度，构建校内外各界广泛参与的师德监督体系。</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（八）实施师德失范惩处</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将师德表现作为推荐评选的首要条件。在同等条件下，在教师选聘、职务晋升、评优奖励，以及骨干教师选拔培育和各类项目申报推荐等工作中，对师德考核优秀人员予以优先。建立健全教师违反师德行为的惩处机制，对有下列情形之一者，学校按照相关规定给予处分。</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1.损害国家和学校利益、侵犯学生合法权益的行为；</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2.在教育教学活动中有违背党的路线方针政策的言行；</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3.在教学科研工作中弄虚作假、抄袭剽窃、篡改侵吞他人教学科研成果、违规使用教学科研经费和滥用教学科研资源；</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4.在申报职称、岗位、项目、荣誉等过程中弄虚作假；</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5.存在兼职兼薪行为；</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6.在招生、考试、推荐就业、学生评优等工作中徇私舞弊；</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7.索要或收受学生或家长的礼品、礼金、有价证券、支付凭证等财物；</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8.公共道德有严重失范行为，造成恶劣社会影响；</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9.工作态度恶劣，造成不良社会影响；</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10.生活作风严重腐化；</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11.与学生交往超出正常师生关系范畴；</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12.其他违反政治纪律、工作纪律、廉洁从教纪律和高校教师职业道德的行为。</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0"/>
          <w:szCs w:val="30"/>
        </w:rPr>
      </w:pPr>
      <w:r>
        <w:rPr>
          <w:rFonts w:hint="eastAsia" w:ascii="仿宋" w:hAnsi="仿宋" w:eastAsia="仿宋" w:cs="仿宋"/>
          <w:sz w:val="30"/>
          <w:szCs w:val="30"/>
        </w:rPr>
        <w:t>师德考核不合格人员，年度考核和聘期考核结果评定为不合格，并在两年内教师选聘、职务晋升、岗位聘用、评优奖励，以及各类项目申报推荐等工作中取消资格，严格实行一票否决。建立</w:t>
      </w:r>
      <w:r>
        <w:rPr>
          <w:rFonts w:hint="eastAsia" w:ascii="仿宋" w:hAnsi="仿宋" w:eastAsia="仿宋" w:cs="仿宋"/>
          <w:sz w:val="30"/>
          <w:szCs w:val="30"/>
          <w:lang w:val="en-US" w:eastAsia="zh-CN"/>
        </w:rPr>
        <w:t>部门</w:t>
      </w:r>
      <w:r>
        <w:rPr>
          <w:rFonts w:hint="eastAsia" w:ascii="仿宋" w:hAnsi="仿宋" w:eastAsia="仿宋" w:cs="仿宋"/>
          <w:sz w:val="30"/>
          <w:szCs w:val="30"/>
        </w:rPr>
        <w:t>负责人问责机制，对教师严重违反师德行为监管不力、拒不查处、拖延处分或推诿隐瞒，造成不良影响或严重后果的单位，学校将追究该</w:t>
      </w:r>
      <w:r>
        <w:rPr>
          <w:rFonts w:hint="eastAsia" w:ascii="仿宋" w:hAnsi="仿宋" w:eastAsia="仿宋" w:cs="仿宋"/>
          <w:sz w:val="30"/>
          <w:szCs w:val="30"/>
          <w:lang w:val="en-US" w:eastAsia="zh-CN"/>
        </w:rPr>
        <w:t>部门</w:t>
      </w:r>
      <w:r>
        <w:rPr>
          <w:rFonts w:hint="eastAsia" w:ascii="仿宋" w:hAnsi="仿宋" w:eastAsia="仿宋" w:cs="仿宋"/>
          <w:sz w:val="30"/>
          <w:szCs w:val="30"/>
        </w:rPr>
        <w:t>主要负责人的责任。</w:t>
      </w:r>
    </w:p>
    <w:p>
      <w:pPr>
        <w:pStyle w:val="8"/>
        <w:numPr>
          <w:ilvl w:val="0"/>
          <w:numId w:val="1"/>
        </w:numPr>
        <w:ind w:firstLineChars="0"/>
        <w:jc w:val="left"/>
        <w:rPr>
          <w:rFonts w:hint="eastAsia" w:ascii="黑体" w:hAnsi="黑体" w:eastAsia="黑体" w:cs="黑体"/>
          <w:b/>
          <w:sz w:val="30"/>
          <w:szCs w:val="30"/>
        </w:rPr>
      </w:pPr>
      <w:r>
        <w:rPr>
          <w:rFonts w:hint="eastAsia" w:ascii="黑体" w:hAnsi="黑体" w:eastAsia="黑体" w:cs="黑体"/>
          <w:b/>
          <w:sz w:val="30"/>
          <w:szCs w:val="30"/>
        </w:rPr>
        <w:t>组织保障</w:t>
      </w:r>
    </w:p>
    <w:p>
      <w:pPr>
        <w:pStyle w:val="8"/>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黑体" w:hAnsi="黑体" w:eastAsia="黑体" w:cs="黑体"/>
          <w:b/>
          <w:sz w:val="30"/>
          <w:szCs w:val="30"/>
          <w:lang w:val="en-US" w:eastAsia="zh-CN"/>
        </w:rPr>
      </w:pPr>
      <w:r>
        <w:rPr>
          <w:rFonts w:hint="eastAsia" w:ascii="仿宋" w:hAnsi="仿宋" w:eastAsia="仿宋" w:cs="仿宋"/>
          <w:sz w:val="30"/>
          <w:szCs w:val="30"/>
        </w:rPr>
        <w:t>全校各级党政领导要高度重视师德建设工作，主要领导亲自抓，切实负起责任；</w:t>
      </w:r>
      <w:r>
        <w:rPr>
          <w:rFonts w:hint="eastAsia" w:ascii="仿宋" w:hAnsi="仿宋" w:eastAsia="仿宋" w:cs="仿宋"/>
          <w:sz w:val="30"/>
          <w:szCs w:val="30"/>
          <w:lang w:val="en-US" w:eastAsia="zh-CN"/>
        </w:rPr>
        <w:t>系部</w:t>
      </w:r>
      <w:r>
        <w:rPr>
          <w:rFonts w:hint="eastAsia" w:ascii="仿宋" w:hAnsi="仿宋" w:eastAsia="仿宋" w:cs="仿宋"/>
          <w:sz w:val="30"/>
          <w:szCs w:val="30"/>
        </w:rPr>
        <w:t>负责人要在师德建设中起到模范带头作用，引导全体教师做到教书育人；非教师系列的工作人员要自觉遵守教师职业道德规范，树立育人为本的理念，做到管理育人、服务育人。各学院和有关职能部门要根据年度师德建设工作方案的相关要求，将师德建设工作纳入单位整体工作中，学校定期开展专项工作检查，督促落实师德建设工作。学校将师德建设工作成效作为对各学院和有关职能部门工作绩效考核的重要内容，并作为对相关单位领导班子成员和主要负责人考核评价的重要依据。</w:t>
      </w:r>
    </w:p>
    <w:p>
      <w:pPr>
        <w:pStyle w:val="8"/>
        <w:numPr>
          <w:ilvl w:val="0"/>
          <w:numId w:val="0"/>
        </w:numPr>
        <w:ind w:leftChars="0"/>
        <w:jc w:val="left"/>
        <w:rPr>
          <w:rFonts w:hint="eastAsia" w:ascii="黑体" w:hAnsi="黑体" w:eastAsia="黑体" w:cs="黑体"/>
          <w:b/>
          <w:sz w:val="30"/>
          <w:szCs w:val="30"/>
          <w:lang w:val="en-US" w:eastAsia="zh-CN"/>
        </w:rPr>
      </w:pPr>
    </w:p>
    <w:p>
      <w:pPr>
        <w:pStyle w:val="8"/>
        <w:numPr>
          <w:ilvl w:val="0"/>
          <w:numId w:val="0"/>
        </w:numPr>
        <w:ind w:leftChars="0"/>
        <w:jc w:val="left"/>
        <w:rPr>
          <w:rFonts w:hint="eastAsia" w:ascii="黑体" w:hAnsi="黑体" w:eastAsia="黑体" w:cs="黑体"/>
          <w:b/>
          <w:sz w:val="30"/>
          <w:szCs w:val="30"/>
          <w:lang w:val="en-US" w:eastAsia="zh-CN"/>
        </w:rPr>
      </w:pPr>
    </w:p>
    <w:p>
      <w:pPr>
        <w:pStyle w:val="8"/>
        <w:numPr>
          <w:ilvl w:val="0"/>
          <w:numId w:val="0"/>
        </w:numPr>
        <w:ind w:leftChars="0"/>
        <w:jc w:val="left"/>
        <w:rPr>
          <w:rFonts w:hint="eastAsia" w:ascii="黑体" w:hAnsi="黑体" w:eastAsia="黑体" w:cs="黑体"/>
          <w:b/>
          <w:sz w:val="30"/>
          <w:szCs w:val="30"/>
          <w:lang w:val="en-US" w:eastAsia="zh-CN"/>
        </w:rPr>
      </w:pPr>
    </w:p>
    <w:p>
      <w:pPr>
        <w:pStyle w:val="8"/>
        <w:numPr>
          <w:ilvl w:val="0"/>
          <w:numId w:val="0"/>
        </w:numPr>
        <w:ind w:leftChars="0"/>
        <w:jc w:val="left"/>
        <w:rPr>
          <w:rFonts w:hint="eastAsia" w:ascii="黑体" w:hAnsi="黑体" w:eastAsia="黑体" w:cs="黑体"/>
          <w:b/>
          <w:sz w:val="30"/>
          <w:szCs w:val="30"/>
          <w:lang w:val="en-US" w:eastAsia="zh-CN"/>
        </w:rPr>
      </w:pPr>
    </w:p>
    <w:p>
      <w:pPr>
        <w:pStyle w:val="8"/>
        <w:numPr>
          <w:ilvl w:val="0"/>
          <w:numId w:val="0"/>
        </w:numPr>
        <w:ind w:leftChars="0"/>
        <w:jc w:val="left"/>
        <w:rPr>
          <w:rFonts w:hint="eastAsia" w:ascii="黑体" w:hAnsi="黑体" w:eastAsia="黑体" w:cs="黑体"/>
          <w:b/>
          <w:sz w:val="30"/>
          <w:szCs w:val="30"/>
          <w:lang w:val="en-US" w:eastAsia="zh-CN"/>
        </w:rPr>
      </w:pPr>
    </w:p>
    <w:p>
      <w:pPr>
        <w:pStyle w:val="8"/>
        <w:numPr>
          <w:ilvl w:val="0"/>
          <w:numId w:val="0"/>
        </w:numPr>
        <w:ind w:leftChars="0"/>
        <w:jc w:val="left"/>
        <w:rPr>
          <w:rFonts w:hint="eastAsia" w:ascii="黑体" w:hAnsi="黑体" w:eastAsia="黑体" w:cs="黑体"/>
          <w:b/>
          <w:sz w:val="30"/>
          <w:szCs w:val="30"/>
          <w:lang w:val="en-US" w:eastAsia="zh-CN"/>
        </w:rPr>
      </w:pPr>
    </w:p>
    <w:p>
      <w:pPr>
        <w:pStyle w:val="8"/>
        <w:numPr>
          <w:ilvl w:val="0"/>
          <w:numId w:val="0"/>
        </w:numPr>
        <w:ind w:leftChars="0"/>
        <w:jc w:val="left"/>
        <w:rPr>
          <w:rFonts w:hint="eastAsia" w:ascii="黑体" w:hAnsi="黑体" w:eastAsia="黑体" w:cs="黑体"/>
          <w:b/>
          <w:sz w:val="30"/>
          <w:szCs w:val="30"/>
          <w:lang w:val="en-US" w:eastAsia="zh-CN"/>
        </w:rPr>
      </w:pPr>
    </w:p>
    <w:p>
      <w:pPr>
        <w:pStyle w:val="8"/>
        <w:numPr>
          <w:ilvl w:val="0"/>
          <w:numId w:val="0"/>
        </w:numPr>
        <w:ind w:leftChars="0"/>
        <w:jc w:val="left"/>
        <w:rPr>
          <w:rFonts w:hint="eastAsia" w:ascii="黑体" w:hAnsi="黑体" w:eastAsia="黑体" w:cs="黑体"/>
          <w:b/>
          <w:sz w:val="30"/>
          <w:szCs w:val="30"/>
          <w:lang w:val="en-US" w:eastAsia="zh-CN"/>
        </w:rPr>
      </w:pPr>
    </w:p>
    <w:p>
      <w:pPr>
        <w:pStyle w:val="8"/>
        <w:numPr>
          <w:ilvl w:val="0"/>
          <w:numId w:val="0"/>
        </w:numPr>
        <w:ind w:leftChars="0"/>
        <w:jc w:val="left"/>
        <w:rPr>
          <w:rFonts w:hint="eastAsia" w:ascii="黑体" w:hAnsi="黑体" w:eastAsia="黑体" w:cs="黑体"/>
          <w:b/>
          <w:sz w:val="30"/>
          <w:szCs w:val="30"/>
          <w:lang w:val="en-US" w:eastAsia="zh-CN"/>
        </w:rPr>
      </w:pPr>
    </w:p>
    <w:p>
      <w:pPr>
        <w:pStyle w:val="8"/>
        <w:numPr>
          <w:ilvl w:val="0"/>
          <w:numId w:val="0"/>
        </w:numPr>
        <w:ind w:leftChars="0"/>
        <w:jc w:val="left"/>
        <w:rPr>
          <w:rFonts w:hint="eastAsia" w:ascii="黑体" w:hAnsi="黑体" w:eastAsia="黑体" w:cs="黑体"/>
          <w:b/>
          <w:sz w:val="30"/>
          <w:szCs w:val="30"/>
        </w:rPr>
      </w:pPr>
      <w:r>
        <w:rPr>
          <w:rFonts w:hint="eastAsia" w:ascii="黑体" w:hAnsi="黑体" w:eastAsia="黑体" w:cs="黑体"/>
          <w:b/>
          <w:sz w:val="30"/>
          <w:szCs w:val="30"/>
          <w:lang w:val="en-US" w:eastAsia="zh-CN"/>
        </w:rPr>
        <w:t>附：</w:t>
      </w:r>
      <w:r>
        <w:rPr>
          <w:rFonts w:hint="eastAsia" w:ascii="黑体" w:hAnsi="黑体" w:eastAsia="黑体" w:cs="黑体"/>
          <w:b/>
          <w:sz w:val="30"/>
          <w:szCs w:val="30"/>
        </w:rPr>
        <w:t>日程安排</w:t>
      </w:r>
    </w:p>
    <w:tbl>
      <w:tblPr>
        <w:tblStyle w:val="4"/>
        <w:tblW w:w="8560" w:type="dxa"/>
        <w:tblInd w:w="93" w:type="dxa"/>
        <w:tblLayout w:type="fixed"/>
        <w:tblCellMar>
          <w:top w:w="0" w:type="dxa"/>
          <w:left w:w="108" w:type="dxa"/>
          <w:bottom w:w="0" w:type="dxa"/>
          <w:right w:w="108" w:type="dxa"/>
        </w:tblCellMar>
      </w:tblPr>
      <w:tblGrid>
        <w:gridCol w:w="760"/>
        <w:gridCol w:w="740"/>
        <w:gridCol w:w="4151"/>
        <w:gridCol w:w="1129"/>
        <w:gridCol w:w="1780"/>
      </w:tblGrid>
      <w:tr>
        <w:tblPrEx>
          <w:tblCellMar>
            <w:top w:w="0" w:type="dxa"/>
            <w:left w:w="108" w:type="dxa"/>
            <w:bottom w:w="0" w:type="dxa"/>
            <w:right w:w="108" w:type="dxa"/>
          </w:tblCellMar>
        </w:tblPrEx>
        <w:trPr>
          <w:trHeight w:val="375"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学期</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月份</w:t>
            </w:r>
          </w:p>
        </w:tc>
        <w:tc>
          <w:tcPr>
            <w:tcW w:w="41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lang w:val="en-US" w:eastAsia="zh-CN"/>
              </w:rPr>
              <w:t>活动</w:t>
            </w:r>
            <w:r>
              <w:rPr>
                <w:rFonts w:hint="eastAsia" w:ascii="宋体" w:hAnsi="宋体" w:eastAsia="宋体" w:cs="宋体"/>
                <w:b/>
                <w:bCs/>
                <w:color w:val="000000"/>
                <w:kern w:val="0"/>
                <w:sz w:val="28"/>
                <w:szCs w:val="28"/>
              </w:rPr>
              <w:t>主题</w:t>
            </w:r>
          </w:p>
        </w:tc>
        <w:tc>
          <w:tcPr>
            <w:tcW w:w="112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参与</w:t>
            </w:r>
          </w:p>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人员</w:t>
            </w:r>
          </w:p>
        </w:tc>
        <w:tc>
          <w:tcPr>
            <w:tcW w:w="1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举办部门</w:t>
            </w:r>
          </w:p>
        </w:tc>
      </w:tr>
      <w:tr>
        <w:tblPrEx>
          <w:tblCellMar>
            <w:top w:w="0" w:type="dxa"/>
            <w:left w:w="108" w:type="dxa"/>
            <w:bottom w:w="0" w:type="dxa"/>
            <w:right w:w="108" w:type="dxa"/>
          </w:tblCellMar>
        </w:tblPrEx>
        <w:trPr>
          <w:trHeight w:val="450" w:hRule="atLeast"/>
        </w:trPr>
        <w:tc>
          <w:tcPr>
            <w:tcW w:w="7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春季学期</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3月</w:t>
            </w:r>
          </w:p>
        </w:tc>
        <w:tc>
          <w:tcPr>
            <w:tcW w:w="4151" w:type="dxa"/>
            <w:tcBorders>
              <w:top w:val="nil"/>
              <w:left w:val="nil"/>
              <w:bottom w:val="single" w:color="auto" w:sz="4" w:space="0"/>
              <w:right w:val="single" w:color="auto" w:sz="4" w:space="0"/>
            </w:tcBorders>
            <w:shd w:val="clear" w:color="auto" w:fill="auto"/>
            <w:vAlign w:val="center"/>
          </w:tcPr>
          <w:p>
            <w:pPr>
              <w:widowControl/>
              <w:jc w:val="center"/>
              <w:rPr>
                <w:rFonts w:hint="default" w:ascii="微软雅黑" w:hAnsi="微软雅黑" w:eastAsia="微软雅黑" w:cs="宋体"/>
                <w:color w:val="333333"/>
                <w:kern w:val="0"/>
                <w:sz w:val="22"/>
                <w:lang w:val="en-US" w:eastAsia="zh-CN"/>
              </w:rPr>
            </w:pPr>
            <w:r>
              <w:rPr>
                <w:rFonts w:hint="eastAsia" w:ascii="微软雅黑" w:hAnsi="微软雅黑" w:eastAsia="微软雅黑" w:cs="宋体"/>
                <w:color w:val="333333"/>
                <w:kern w:val="0"/>
                <w:sz w:val="22"/>
                <w:lang w:val="en-US" w:eastAsia="zh-CN"/>
              </w:rPr>
              <w:t>教风建设活动月</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全体教师</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教务处</w:t>
            </w:r>
          </w:p>
        </w:tc>
      </w:tr>
      <w:tr>
        <w:tblPrEx>
          <w:tblCellMar>
            <w:top w:w="0" w:type="dxa"/>
            <w:left w:w="108" w:type="dxa"/>
            <w:bottom w:w="0" w:type="dxa"/>
            <w:right w:w="108" w:type="dxa"/>
          </w:tblCellMar>
        </w:tblPrEx>
        <w:trPr>
          <w:trHeight w:val="990" w:hRule="atLeast"/>
        </w:trPr>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4月</w:t>
            </w:r>
          </w:p>
        </w:tc>
        <w:tc>
          <w:tcPr>
            <w:tcW w:w="41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lang w:val="en-US" w:eastAsia="zh-CN"/>
              </w:rPr>
              <w:t>教务微信平台、学校广播电台</w:t>
            </w:r>
            <w:r>
              <w:rPr>
                <w:rFonts w:hint="eastAsia" w:ascii="微软雅黑" w:hAnsi="微软雅黑" w:eastAsia="微软雅黑" w:cs="宋体"/>
                <w:color w:val="333333"/>
                <w:kern w:val="0"/>
                <w:sz w:val="22"/>
              </w:rPr>
              <w:t>宣传师德榜样事迹（每月2人，每学院1人）</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各学院</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各学院</w:t>
            </w:r>
            <w:r>
              <w:rPr>
                <w:rFonts w:hint="eastAsia" w:ascii="微软雅黑" w:hAnsi="微软雅黑" w:eastAsia="微软雅黑" w:cs="宋体"/>
                <w:color w:val="333333"/>
                <w:kern w:val="0"/>
                <w:sz w:val="22"/>
                <w:lang w:eastAsia="zh-CN"/>
              </w:rPr>
              <w:t>、</w:t>
            </w:r>
            <w:r>
              <w:rPr>
                <w:rFonts w:hint="eastAsia" w:ascii="微软雅黑" w:hAnsi="微软雅黑" w:eastAsia="微软雅黑" w:cs="宋体"/>
                <w:color w:val="333333"/>
                <w:kern w:val="0"/>
                <w:sz w:val="22"/>
              </w:rPr>
              <w:t>教务处</w:t>
            </w:r>
          </w:p>
        </w:tc>
      </w:tr>
      <w:tr>
        <w:tblPrEx>
          <w:tblCellMar>
            <w:top w:w="0" w:type="dxa"/>
            <w:left w:w="108" w:type="dxa"/>
            <w:bottom w:w="0" w:type="dxa"/>
            <w:right w:w="108" w:type="dxa"/>
          </w:tblCellMar>
        </w:tblPrEx>
        <w:trPr>
          <w:trHeight w:val="450" w:hRule="atLeast"/>
        </w:trPr>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5月</w:t>
            </w:r>
          </w:p>
        </w:tc>
        <w:tc>
          <w:tcPr>
            <w:tcW w:w="4151" w:type="dxa"/>
            <w:tcBorders>
              <w:top w:val="nil"/>
              <w:left w:val="nil"/>
              <w:bottom w:val="single" w:color="auto" w:sz="4" w:space="0"/>
              <w:right w:val="single" w:color="auto" w:sz="4" w:space="0"/>
            </w:tcBorders>
            <w:shd w:val="clear" w:color="auto" w:fill="auto"/>
            <w:vAlign w:val="center"/>
          </w:tcPr>
          <w:p>
            <w:pPr>
              <w:widowControl/>
              <w:jc w:val="center"/>
              <w:rPr>
                <w:rFonts w:hint="default" w:ascii="微软雅黑" w:hAnsi="微软雅黑" w:eastAsia="微软雅黑" w:cs="宋体"/>
                <w:color w:val="333333"/>
                <w:kern w:val="0"/>
                <w:sz w:val="22"/>
                <w:lang w:val="en-US" w:eastAsia="zh-CN"/>
              </w:rPr>
            </w:pPr>
            <w:r>
              <w:rPr>
                <w:rFonts w:hint="eastAsia" w:ascii="微软雅黑" w:hAnsi="微软雅黑" w:eastAsia="微软雅黑" w:cs="宋体"/>
                <w:color w:val="333333"/>
                <w:kern w:val="0"/>
                <w:sz w:val="22"/>
                <w:lang w:val="en-US" w:eastAsia="zh-CN"/>
              </w:rPr>
              <w:t>师德师风交流研讨活动</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全体教师</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微软雅黑" w:hAnsi="微软雅黑" w:eastAsia="微软雅黑" w:cs="宋体"/>
                <w:color w:val="333333"/>
                <w:kern w:val="0"/>
                <w:sz w:val="22"/>
                <w:lang w:val="en-US" w:eastAsia="zh-CN"/>
              </w:rPr>
            </w:pPr>
            <w:r>
              <w:rPr>
                <w:rFonts w:hint="eastAsia" w:ascii="微软雅黑" w:hAnsi="微软雅黑" w:eastAsia="微软雅黑" w:cs="宋体"/>
                <w:color w:val="333333"/>
                <w:kern w:val="0"/>
                <w:sz w:val="22"/>
                <w:lang w:val="en-US" w:eastAsia="zh-CN"/>
              </w:rPr>
              <w:t>各学院</w:t>
            </w:r>
          </w:p>
        </w:tc>
      </w:tr>
      <w:tr>
        <w:tblPrEx>
          <w:tblCellMar>
            <w:top w:w="0" w:type="dxa"/>
            <w:left w:w="108" w:type="dxa"/>
            <w:bottom w:w="0" w:type="dxa"/>
            <w:right w:w="108" w:type="dxa"/>
          </w:tblCellMar>
        </w:tblPrEx>
        <w:trPr>
          <w:trHeight w:val="420" w:hRule="atLeast"/>
        </w:trPr>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6月</w:t>
            </w:r>
          </w:p>
        </w:tc>
        <w:tc>
          <w:tcPr>
            <w:tcW w:w="41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lang w:val="en-US" w:eastAsia="zh-CN"/>
              </w:rPr>
              <w:t>校级课程思政</w:t>
            </w:r>
            <w:r>
              <w:rPr>
                <w:rFonts w:hint="eastAsia" w:ascii="微软雅黑" w:hAnsi="微软雅黑" w:eastAsia="微软雅黑" w:cs="宋体"/>
                <w:color w:val="333333"/>
                <w:kern w:val="0"/>
                <w:sz w:val="22"/>
              </w:rPr>
              <w:t>交流</w:t>
            </w:r>
            <w:r>
              <w:rPr>
                <w:rFonts w:hint="eastAsia" w:ascii="微软雅黑" w:hAnsi="微软雅黑" w:eastAsia="微软雅黑" w:cs="宋体"/>
                <w:color w:val="333333"/>
                <w:kern w:val="0"/>
                <w:sz w:val="22"/>
                <w:lang w:val="en-US" w:eastAsia="zh-CN"/>
              </w:rPr>
              <w:t>活动</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全体教师</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教务处</w:t>
            </w:r>
          </w:p>
        </w:tc>
      </w:tr>
      <w:tr>
        <w:tblPrEx>
          <w:tblCellMar>
            <w:top w:w="0" w:type="dxa"/>
            <w:left w:w="108" w:type="dxa"/>
            <w:bottom w:w="0" w:type="dxa"/>
            <w:right w:w="108" w:type="dxa"/>
          </w:tblCellMar>
        </w:tblPrEx>
        <w:trPr>
          <w:trHeight w:val="330" w:hRule="atLeast"/>
        </w:trPr>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7月</w:t>
            </w:r>
          </w:p>
        </w:tc>
        <w:tc>
          <w:tcPr>
            <w:tcW w:w="41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师德师风考试</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全体教师</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教务处</w:t>
            </w:r>
          </w:p>
        </w:tc>
      </w:tr>
      <w:tr>
        <w:tblPrEx>
          <w:tblCellMar>
            <w:top w:w="0" w:type="dxa"/>
            <w:left w:w="108" w:type="dxa"/>
            <w:bottom w:w="0" w:type="dxa"/>
            <w:right w:w="108" w:type="dxa"/>
          </w:tblCellMar>
        </w:tblPrEx>
        <w:trPr>
          <w:trHeight w:val="330" w:hRule="atLeast"/>
        </w:trPr>
        <w:tc>
          <w:tcPr>
            <w:tcW w:w="7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秋季学期</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9月</w:t>
            </w:r>
          </w:p>
        </w:tc>
        <w:tc>
          <w:tcPr>
            <w:tcW w:w="41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lang w:val="en-US" w:eastAsia="zh-CN"/>
              </w:rPr>
              <w:t>教风建设活动月</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全体教师</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教务处</w:t>
            </w:r>
          </w:p>
        </w:tc>
      </w:tr>
      <w:tr>
        <w:tblPrEx>
          <w:tblCellMar>
            <w:top w:w="0" w:type="dxa"/>
            <w:left w:w="108" w:type="dxa"/>
            <w:bottom w:w="0" w:type="dxa"/>
            <w:right w:w="108" w:type="dxa"/>
          </w:tblCellMar>
        </w:tblPrEx>
        <w:trPr>
          <w:trHeight w:val="990" w:hRule="atLeast"/>
        </w:trPr>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10月</w:t>
            </w:r>
          </w:p>
        </w:tc>
        <w:tc>
          <w:tcPr>
            <w:tcW w:w="41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lang w:val="en-US" w:eastAsia="zh-CN"/>
              </w:rPr>
              <w:t>教务微信平台、学校广播电台</w:t>
            </w:r>
            <w:r>
              <w:rPr>
                <w:rFonts w:hint="eastAsia" w:ascii="微软雅黑" w:hAnsi="微软雅黑" w:eastAsia="微软雅黑" w:cs="宋体"/>
                <w:color w:val="333333"/>
                <w:kern w:val="0"/>
                <w:sz w:val="22"/>
              </w:rPr>
              <w:t>宣传师德榜样事迹（每月2人，每学院1人）</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各学院</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各学院</w:t>
            </w:r>
            <w:r>
              <w:rPr>
                <w:rFonts w:hint="eastAsia" w:ascii="微软雅黑" w:hAnsi="微软雅黑" w:eastAsia="微软雅黑" w:cs="宋体"/>
                <w:color w:val="333333"/>
                <w:kern w:val="0"/>
                <w:sz w:val="22"/>
                <w:lang w:eastAsia="zh-CN"/>
              </w:rPr>
              <w:t>、</w:t>
            </w:r>
            <w:r>
              <w:rPr>
                <w:rFonts w:hint="eastAsia" w:ascii="微软雅黑" w:hAnsi="微软雅黑" w:eastAsia="微软雅黑" w:cs="宋体"/>
                <w:color w:val="333333"/>
                <w:kern w:val="0"/>
                <w:sz w:val="22"/>
              </w:rPr>
              <w:t>教务处</w:t>
            </w:r>
          </w:p>
        </w:tc>
      </w:tr>
      <w:tr>
        <w:tblPrEx>
          <w:tblCellMar>
            <w:top w:w="0" w:type="dxa"/>
            <w:left w:w="108" w:type="dxa"/>
            <w:bottom w:w="0" w:type="dxa"/>
            <w:right w:w="108" w:type="dxa"/>
          </w:tblCellMar>
        </w:tblPrEx>
        <w:trPr>
          <w:trHeight w:val="330" w:hRule="atLeast"/>
        </w:trPr>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11月</w:t>
            </w:r>
          </w:p>
        </w:tc>
        <w:tc>
          <w:tcPr>
            <w:tcW w:w="41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lang w:val="en-US" w:eastAsia="zh-CN"/>
              </w:rPr>
              <w:t>校级课程思政</w:t>
            </w:r>
            <w:r>
              <w:rPr>
                <w:rFonts w:hint="eastAsia" w:ascii="微软雅黑" w:hAnsi="微软雅黑" w:eastAsia="微软雅黑" w:cs="宋体"/>
                <w:color w:val="333333"/>
                <w:kern w:val="0"/>
                <w:sz w:val="22"/>
              </w:rPr>
              <w:t>交流</w:t>
            </w:r>
            <w:r>
              <w:rPr>
                <w:rFonts w:hint="eastAsia" w:ascii="微软雅黑" w:hAnsi="微软雅黑" w:eastAsia="微软雅黑" w:cs="宋体"/>
                <w:color w:val="333333"/>
                <w:kern w:val="0"/>
                <w:sz w:val="22"/>
                <w:lang w:val="en-US" w:eastAsia="zh-CN"/>
              </w:rPr>
              <w:t>活动</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全体教师</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微软雅黑" w:hAnsi="微软雅黑" w:eastAsia="微软雅黑" w:cs="宋体"/>
                <w:color w:val="333333"/>
                <w:kern w:val="0"/>
                <w:sz w:val="22"/>
                <w:lang w:val="en-US" w:eastAsia="zh-CN"/>
              </w:rPr>
            </w:pPr>
            <w:r>
              <w:rPr>
                <w:rFonts w:hint="eastAsia" w:ascii="微软雅黑" w:hAnsi="微软雅黑" w:eastAsia="微软雅黑" w:cs="宋体"/>
                <w:color w:val="333333"/>
                <w:kern w:val="0"/>
                <w:sz w:val="22"/>
              </w:rPr>
              <w:t>教务处</w:t>
            </w:r>
          </w:p>
        </w:tc>
      </w:tr>
      <w:tr>
        <w:tblPrEx>
          <w:tblCellMar>
            <w:top w:w="0" w:type="dxa"/>
            <w:left w:w="108" w:type="dxa"/>
            <w:bottom w:w="0" w:type="dxa"/>
            <w:right w:w="108" w:type="dxa"/>
          </w:tblCellMar>
        </w:tblPrEx>
        <w:trPr>
          <w:trHeight w:val="330" w:hRule="atLeast"/>
        </w:trPr>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12月</w:t>
            </w:r>
          </w:p>
        </w:tc>
        <w:tc>
          <w:tcPr>
            <w:tcW w:w="4151" w:type="dxa"/>
            <w:tcBorders>
              <w:top w:val="nil"/>
              <w:left w:val="nil"/>
              <w:bottom w:val="single" w:color="auto" w:sz="4" w:space="0"/>
              <w:right w:val="single" w:color="auto" w:sz="4" w:space="0"/>
            </w:tcBorders>
            <w:shd w:val="clear" w:color="auto" w:fill="auto"/>
            <w:vAlign w:val="center"/>
          </w:tcPr>
          <w:p>
            <w:pPr>
              <w:widowControl/>
              <w:jc w:val="center"/>
              <w:rPr>
                <w:rFonts w:hint="default" w:ascii="微软雅黑" w:hAnsi="微软雅黑" w:eastAsia="微软雅黑" w:cs="宋体"/>
                <w:color w:val="333333"/>
                <w:kern w:val="0"/>
                <w:sz w:val="22"/>
                <w:lang w:val="en-US" w:eastAsia="zh-CN"/>
              </w:rPr>
            </w:pPr>
            <w:r>
              <w:rPr>
                <w:rFonts w:hint="eastAsia" w:ascii="微软雅黑" w:hAnsi="微软雅黑" w:eastAsia="微软雅黑" w:cs="宋体"/>
                <w:color w:val="333333"/>
                <w:kern w:val="0"/>
                <w:sz w:val="22"/>
              </w:rPr>
              <w:t>“</w:t>
            </w:r>
            <w:r>
              <w:rPr>
                <w:rFonts w:hint="eastAsia" w:ascii="微软雅黑" w:hAnsi="微软雅黑" w:eastAsia="微软雅黑" w:cs="宋体"/>
                <w:color w:val="333333"/>
                <w:kern w:val="0"/>
                <w:sz w:val="22"/>
                <w:lang w:val="en-US" w:eastAsia="zh-CN"/>
              </w:rPr>
              <w:t>育人先进个人</w:t>
            </w:r>
            <w:r>
              <w:rPr>
                <w:rFonts w:hint="eastAsia" w:ascii="微软雅黑" w:hAnsi="微软雅黑" w:eastAsia="微软雅黑" w:cs="宋体"/>
                <w:color w:val="333333"/>
                <w:kern w:val="0"/>
                <w:sz w:val="22"/>
              </w:rPr>
              <w:t>”</w:t>
            </w:r>
            <w:r>
              <w:rPr>
                <w:rFonts w:hint="eastAsia" w:ascii="微软雅黑" w:hAnsi="微软雅黑" w:eastAsia="微软雅黑" w:cs="宋体"/>
                <w:color w:val="333333"/>
                <w:kern w:val="0"/>
                <w:sz w:val="22"/>
                <w:lang w:val="en-US" w:eastAsia="zh-CN"/>
              </w:rPr>
              <w:t>评选表彰</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全体教师</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教务处</w:t>
            </w:r>
            <w:r>
              <w:rPr>
                <w:rFonts w:hint="eastAsia" w:ascii="微软雅黑" w:hAnsi="微软雅黑" w:eastAsia="微软雅黑" w:cs="宋体"/>
                <w:color w:val="333333"/>
                <w:kern w:val="0"/>
                <w:sz w:val="22"/>
                <w:lang w:eastAsia="zh-CN"/>
              </w:rPr>
              <w:t>、</w:t>
            </w:r>
            <w:r>
              <w:rPr>
                <w:rFonts w:hint="eastAsia" w:ascii="微软雅黑" w:hAnsi="微软雅黑" w:eastAsia="微软雅黑" w:cs="宋体"/>
                <w:color w:val="333333"/>
                <w:kern w:val="0"/>
                <w:sz w:val="22"/>
                <w:lang w:val="en-US" w:eastAsia="zh-CN"/>
              </w:rPr>
              <w:t>各学院</w:t>
            </w:r>
          </w:p>
        </w:tc>
      </w:tr>
      <w:tr>
        <w:tblPrEx>
          <w:tblCellMar>
            <w:top w:w="0" w:type="dxa"/>
            <w:left w:w="108" w:type="dxa"/>
            <w:bottom w:w="0" w:type="dxa"/>
            <w:right w:w="108" w:type="dxa"/>
          </w:tblCellMar>
        </w:tblPrEx>
        <w:trPr>
          <w:trHeight w:val="330" w:hRule="atLeast"/>
        </w:trPr>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1月</w:t>
            </w:r>
          </w:p>
        </w:tc>
        <w:tc>
          <w:tcPr>
            <w:tcW w:w="41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师德师风考试</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全体教师</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教务处</w:t>
            </w:r>
          </w:p>
        </w:tc>
      </w:tr>
    </w:tbl>
    <w:p>
      <w:pPr>
        <w:jc w:val="left"/>
        <w:rPr>
          <w:sz w:val="32"/>
          <w:szCs w:val="32"/>
        </w:rPr>
      </w:pPr>
    </w:p>
    <w:p>
      <w:pPr>
        <w:jc w:val="left"/>
        <w:rPr>
          <w:sz w:val="32"/>
          <w:szCs w:val="32"/>
        </w:rPr>
      </w:pPr>
    </w:p>
    <w:p>
      <w:pPr>
        <w:ind w:firstLine="640" w:firstLineChars="200"/>
        <w:jc w:val="left"/>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FE3141"/>
    <w:multiLevelType w:val="multilevel"/>
    <w:tmpl w:val="52FE314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18"/>
    <w:rsid w:val="00462805"/>
    <w:rsid w:val="00500C92"/>
    <w:rsid w:val="005641D9"/>
    <w:rsid w:val="005B4A24"/>
    <w:rsid w:val="00923F7E"/>
    <w:rsid w:val="00927847"/>
    <w:rsid w:val="009F5AD8"/>
    <w:rsid w:val="00AA6BFC"/>
    <w:rsid w:val="00CD2C34"/>
    <w:rsid w:val="00D34ED4"/>
    <w:rsid w:val="00DB3FAC"/>
    <w:rsid w:val="00DE3370"/>
    <w:rsid w:val="00F66318"/>
    <w:rsid w:val="25E028E8"/>
    <w:rsid w:val="302827C0"/>
    <w:rsid w:val="37715572"/>
    <w:rsid w:val="45601057"/>
    <w:rsid w:val="4E4778FD"/>
    <w:rsid w:val="5B1073A4"/>
    <w:rsid w:val="747E53EB"/>
    <w:rsid w:val="79B67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576</Words>
  <Characters>3285</Characters>
  <Lines>27</Lines>
  <Paragraphs>7</Paragraphs>
  <TotalTime>5</TotalTime>
  <ScaleCrop>false</ScaleCrop>
  <LinksUpToDate>false</LinksUpToDate>
  <CharactersWithSpaces>3854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2021-03-10T07:53:00Z</dcterms:created>
  <dc:creator>MC SYSTEM</dc:creator>
  <cp:lastModifiedBy>楊老獅</cp:lastModifiedBy>
  <dcterms:modified xsi:type="dcterms:W3CDTF">2021-03-11T08:52:00Z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3A7844EA073D479C97530275AC9F6730</vt:lpwstr>
  </property>
</Properties>
</file>