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01" w:rightChars="-94" w:firstLine="0" w:firstLineChars="0"/>
        <w:rPr>
          <w:rFonts w:ascii="黑体" w:hAnsi="黑体" w:eastAsia="黑体" w:cs="Times New Roman"/>
          <w:szCs w:val="32"/>
        </w:rPr>
      </w:pPr>
      <w:bookmarkStart w:id="1" w:name="_GoBack"/>
      <w:bookmarkEnd w:id="1"/>
      <w:r>
        <w:rPr>
          <w:rFonts w:hint="eastAsia" w:ascii="黑体" w:hAnsi="黑体" w:eastAsia="黑体" w:cs="Times New Roman"/>
          <w:szCs w:val="32"/>
        </w:rPr>
        <w:t>附件1</w:t>
      </w:r>
    </w:p>
    <w:p>
      <w:pPr>
        <w:adjustRightInd w:val="0"/>
        <w:snapToGrid w:val="0"/>
        <w:spacing w:before="100" w:beforeAutospacing="1" w:after="100" w:afterAutospacing="1" w:line="360" w:lineRule="auto"/>
        <w:ind w:firstLine="0" w:firstLineChars="0"/>
        <w:jc w:val="center"/>
        <w:rPr>
          <w:rFonts w:ascii="方正小标宋简体" w:hAnsi="黑体" w:eastAsia="方正小标宋简体" w:cs="Times New Roman"/>
          <w:sz w:val="36"/>
          <w:szCs w:val="36"/>
        </w:rPr>
      </w:pPr>
      <w:r>
        <w:rPr>
          <w:rFonts w:hint="eastAsia" w:ascii="方正小标宋简体" w:hAnsi="黑体" w:eastAsia="方正小标宋简体" w:cs="Times New Roman"/>
          <w:sz w:val="36"/>
          <w:szCs w:val="36"/>
        </w:rPr>
        <w:t>辽宁省“三全育人”示范高校建设标准（试行）</w:t>
      </w:r>
    </w:p>
    <w:p>
      <w:pPr>
        <w:spacing w:line="240" w:lineRule="auto"/>
        <w:ind w:firstLine="0" w:firstLineChars="0"/>
        <w:rPr>
          <w:rFonts w:ascii="Calibri" w:hAnsi="Calibri" w:eastAsia="宋体" w:cs="Times New Roman"/>
          <w:sz w:val="21"/>
          <w:szCs w:val="24"/>
        </w:rPr>
      </w:pPr>
    </w:p>
    <w:tbl>
      <w:tblPr>
        <w:tblStyle w:val="5"/>
        <w:tblW w:w="143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5"/>
        <w:gridCol w:w="9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Align w:val="center"/>
          </w:tcPr>
          <w:p>
            <w:pPr>
              <w:snapToGrid w:val="0"/>
              <w:spacing w:line="240" w:lineRule="auto"/>
              <w:ind w:firstLine="0" w:firstLineChars="0"/>
              <w:jc w:val="center"/>
              <w:rPr>
                <w:rFonts w:ascii="黑体" w:hAnsi="宋体" w:eastAsia="黑体" w:cs="Times New Roman"/>
                <w:sz w:val="28"/>
                <w:szCs w:val="28"/>
              </w:rPr>
            </w:pPr>
            <w:r>
              <w:rPr>
                <w:rFonts w:hint="eastAsia" w:ascii="黑体" w:hAnsi="宋体" w:eastAsia="黑体" w:cs="Times New Roman"/>
                <w:sz w:val="28"/>
                <w:szCs w:val="28"/>
              </w:rPr>
              <w:t>一级指标</w:t>
            </w:r>
          </w:p>
        </w:tc>
        <w:tc>
          <w:tcPr>
            <w:tcW w:w="2835" w:type="dxa"/>
            <w:vAlign w:val="center"/>
          </w:tcPr>
          <w:p>
            <w:pPr>
              <w:snapToGrid w:val="0"/>
              <w:spacing w:line="240" w:lineRule="auto"/>
              <w:ind w:firstLine="0" w:firstLineChars="0"/>
              <w:jc w:val="center"/>
              <w:rPr>
                <w:rFonts w:ascii="黑体" w:hAnsi="宋体" w:eastAsia="黑体" w:cs="Times New Roman"/>
                <w:sz w:val="28"/>
                <w:szCs w:val="28"/>
              </w:rPr>
            </w:pPr>
            <w:r>
              <w:rPr>
                <w:rFonts w:hint="eastAsia" w:ascii="黑体" w:hAnsi="宋体" w:eastAsia="黑体" w:cs="Times New Roman"/>
                <w:sz w:val="28"/>
                <w:szCs w:val="28"/>
              </w:rPr>
              <w:t>二级指标</w:t>
            </w:r>
          </w:p>
        </w:tc>
        <w:tc>
          <w:tcPr>
            <w:tcW w:w="9516" w:type="dxa"/>
            <w:vAlign w:val="center"/>
          </w:tcPr>
          <w:p>
            <w:pPr>
              <w:snapToGrid w:val="0"/>
              <w:spacing w:line="240" w:lineRule="auto"/>
              <w:ind w:firstLine="0" w:firstLineChars="0"/>
              <w:jc w:val="center"/>
              <w:rPr>
                <w:rFonts w:ascii="黑体" w:hAnsi="宋体" w:eastAsia="黑体" w:cs="Times New Roman"/>
                <w:sz w:val="28"/>
                <w:szCs w:val="28"/>
              </w:rPr>
            </w:pPr>
            <w:r>
              <w:rPr>
                <w:rFonts w:hint="eastAsia" w:ascii="黑体" w:hAnsi="宋体" w:eastAsia="黑体" w:cs="Times New Roman"/>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黑体" w:hAnsi="黑体" w:eastAsia="黑体" w:cs="黑体"/>
                <w:spacing w:val="4"/>
                <w:sz w:val="24"/>
                <w:szCs w:val="24"/>
              </w:rPr>
            </w:pPr>
            <w:r>
              <w:rPr>
                <w:rFonts w:hint="eastAsia" w:ascii="黑体" w:hAnsi="Calibri" w:eastAsia="黑体" w:cs="Times New Roman"/>
                <w:bCs/>
                <w:color w:val="000000"/>
                <w:sz w:val="24"/>
                <w:szCs w:val="24"/>
              </w:rPr>
              <w:t>1．组织领导</w:t>
            </w:r>
          </w:p>
          <w:p>
            <w:pPr>
              <w:tabs>
                <w:tab w:val="left" w:pos="290"/>
                <w:tab w:val="center" w:pos="794"/>
              </w:tabs>
              <w:snapToGrid w:val="0"/>
              <w:spacing w:line="360" w:lineRule="exact"/>
              <w:ind w:firstLine="0" w:firstLineChars="0"/>
              <w:jc w:val="center"/>
              <w:rPr>
                <w:rFonts w:ascii="Calibri" w:hAnsi="Calibri" w:eastAsia="宋体" w:cs="Times New Roman"/>
                <w:b/>
                <w:bCs/>
                <w:color w:val="000000"/>
                <w:sz w:val="28"/>
                <w:szCs w:val="28"/>
              </w:rPr>
            </w:pPr>
          </w:p>
        </w:tc>
        <w:tc>
          <w:tcPr>
            <w:tcW w:w="2835" w:type="dxa"/>
            <w:vAlign w:val="center"/>
          </w:tcPr>
          <w:p>
            <w:pPr>
              <w:snapToGrid w:val="0"/>
              <w:spacing w:line="400" w:lineRule="exact"/>
              <w:ind w:firstLine="0" w:firstLineChars="0"/>
              <w:jc w:val="center"/>
              <w:rPr>
                <w:rFonts w:ascii="仿宋_GB2312" w:hAnsi="Calibri" w:cs="Times New Roman"/>
                <w:color w:val="000000"/>
                <w:sz w:val="24"/>
                <w:szCs w:val="24"/>
              </w:rPr>
            </w:pPr>
            <w:r>
              <w:rPr>
                <w:rFonts w:hint="eastAsia" w:ascii="仿宋_GB2312" w:hAnsi="Calibri" w:cs="Times New Roman"/>
                <w:color w:val="000000"/>
                <w:sz w:val="24"/>
                <w:szCs w:val="24"/>
              </w:rPr>
              <w:t>1.1加强领导与统筹规划</w:t>
            </w:r>
          </w:p>
          <w:p>
            <w:pPr>
              <w:snapToGrid w:val="0"/>
              <w:spacing w:line="400" w:lineRule="exact"/>
              <w:ind w:firstLine="0" w:firstLineChars="0"/>
              <w:jc w:val="center"/>
              <w:rPr>
                <w:rFonts w:ascii="仿宋_GB2312" w:hAnsi="Calibri" w:cs="Times New Roman"/>
                <w:color w:val="000000"/>
                <w:sz w:val="24"/>
                <w:szCs w:val="24"/>
              </w:rPr>
            </w:pPr>
          </w:p>
        </w:tc>
        <w:tc>
          <w:tcPr>
            <w:tcW w:w="9516" w:type="dxa"/>
            <w:vAlign w:val="center"/>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１.深入学习贯彻习近平新时代中国特色社会主义思想、党的十九大和十九届二中、三中、四中、五中全会精神，深入贯彻落实习近平总书记关于教育的重要论述、习近平总书记关于加强和改进高校思想政治工作的重要论述。聚焦政治站位，坚持党对高校思想政治工作的领导，严格落实“一年两报告”制度，定期开展意识形态分析研判，牢牢把握党对高校意识形态工作的领导权。坚持育人导向，突出价值引领，育人目标明确。</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２.坚持和完善党委领导下的校长负责制，完善学校内部治理结构，健全制度体系和制度落实机制，把思想政治工作体系贯通学校学科体系、教材体系、教学体系、管理体系，纳入学校各项事业发展规划和人才培养方案，贯穿到学校“双一流”建设全过程和学科建设全方位，年度工作任务明确。</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３.建立由学校主要负责人担任组长的思想政治工作领导小组，将思想政治工作与教学、科研、社会服务、国际交流等工作同时部署、同时检查、同时评估，实现协同协作、同向同行、互联互通。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985" w:type="dxa"/>
            <w:vMerge w:val="continue"/>
          </w:tcPr>
          <w:p>
            <w:pPr>
              <w:spacing w:line="240" w:lineRule="auto"/>
              <w:ind w:firstLine="0" w:firstLineChars="0"/>
              <w:rPr>
                <w:rFonts w:ascii="Calibri" w:hAnsi="Calibri" w:eastAsia="宋体" w:cs="Times New Roman"/>
                <w:sz w:val="21"/>
                <w:szCs w:val="24"/>
              </w:rPr>
            </w:pPr>
          </w:p>
        </w:tc>
        <w:tc>
          <w:tcPr>
            <w:tcW w:w="2835" w:type="dxa"/>
            <w:vAlign w:val="center"/>
          </w:tcPr>
          <w:p>
            <w:pPr>
              <w:snapToGrid w:val="0"/>
              <w:spacing w:line="400" w:lineRule="exact"/>
              <w:ind w:firstLine="0" w:firstLineChars="0"/>
              <w:jc w:val="center"/>
              <w:rPr>
                <w:rFonts w:ascii="仿宋_GB2312" w:hAnsi="Calibri" w:cs="Times New Roman"/>
                <w:sz w:val="24"/>
                <w:szCs w:val="24"/>
              </w:rPr>
            </w:pPr>
            <w:r>
              <w:rPr>
                <w:rFonts w:hint="eastAsia" w:ascii="仿宋_GB2312" w:hAnsi="Calibri" w:cs="Times New Roman"/>
                <w:color w:val="000000"/>
                <w:sz w:val="24"/>
                <w:szCs w:val="24"/>
              </w:rPr>
              <w:t>1.2工作思路与组织实施</w:t>
            </w:r>
          </w:p>
        </w:tc>
        <w:tc>
          <w:tcPr>
            <w:tcW w:w="9516" w:type="dxa"/>
          </w:tcPr>
          <w:p>
            <w:pPr>
              <w:adjustRightInd w:val="0"/>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１.制定“三全育人”综合改革建设方案，完善“三全育人”工作机制，健全党政议事规则和决策程序。建立完善学校各部门常态协作和分工负责机制，建立责任清单，细化工作台账，学校各部门各院（系）思想政治工作职责明确，有明确思路、有制度、有落实、有成效。</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２.挖掘各群体、各岗位的育人元素，并作为职责要求和考核内容，融入整体制度设计和具体操作环节，使思想政治工作更好地适应和满足学生成长诉求、时代发展要求、社会进步需求。切实使教育教学更有温度、思想引领更有力度、立德树人更有效度。</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３.每年开展师生思想政治状况调研，聚焦短板弱项，着力打通高校思想政治工作存在的盲区、断点，构建一体化育人体系，制度和模式可转化、可推广。</w:t>
            </w:r>
          </w:p>
          <w:p>
            <w:pPr>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４.设立校领导接待日，建立健全校领导联系师生、谈心谈话制度，及时了解师生思想状况和具体诉求。党委书记是思想政治工作第一责任人，校长和其他领导班子成员履行“党政同责、一岗双责”。高校领导班子成员要主动进课堂、进班级、进宿舍、进食堂、进社团、进讲座、进网络，深入一线联系学生。学校党政主要负责同志每学期至少参加学生日常思想政治教育2次以上，每学期至少讲授思想政治理论课4学时以上。学校领导班子其他成员每学期至少讲授思想政治理论课2学时以上。学校分管负责同志每学期到堂听思想政治理论课2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b/>
                <w:bCs/>
                <w:color w:val="000000"/>
                <w:sz w:val="21"/>
                <w:szCs w:val="24"/>
              </w:rPr>
            </w:pPr>
            <w:r>
              <w:rPr>
                <w:rFonts w:hint="eastAsia" w:ascii="黑体" w:hAnsi="Calibri" w:eastAsia="黑体" w:cs="Times New Roman"/>
                <w:bCs/>
                <w:color w:val="000000"/>
                <w:sz w:val="24"/>
                <w:szCs w:val="24"/>
              </w:rPr>
              <w:t>2.课程育人</w:t>
            </w:r>
          </w:p>
        </w:tc>
        <w:tc>
          <w:tcPr>
            <w:tcW w:w="2835" w:type="dxa"/>
            <w:tcBorders>
              <w:bottom w:val="single" w:color="auto" w:sz="4" w:space="0"/>
            </w:tcBorders>
            <w:vAlign w:val="center"/>
          </w:tcPr>
          <w:p>
            <w:pPr>
              <w:snapToGrid w:val="0"/>
              <w:spacing w:line="400" w:lineRule="exact"/>
              <w:ind w:firstLine="0" w:firstLineChars="0"/>
              <w:rPr>
                <w:rFonts w:ascii="仿宋_GB2312" w:hAnsi="宋体" w:cs="Times New Roman"/>
                <w:sz w:val="24"/>
                <w:szCs w:val="24"/>
              </w:rPr>
            </w:pPr>
            <w:r>
              <w:rPr>
                <w:rFonts w:hint="eastAsia" w:ascii="仿宋_GB2312" w:hAnsi="Calibri" w:cs="Times New Roman"/>
                <w:color w:val="000000"/>
                <w:sz w:val="24"/>
                <w:szCs w:val="24"/>
              </w:rPr>
              <w:t>2.1思政课程建设</w:t>
            </w:r>
          </w:p>
        </w:tc>
        <w:tc>
          <w:tcPr>
            <w:tcW w:w="9516" w:type="dxa"/>
            <w:tcBorders>
              <w:bottom w:val="single" w:color="auto" w:sz="4" w:space="0"/>
            </w:tcBorders>
            <w:vAlign w:val="center"/>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１.深入推动习近平新时代中国特色社会主义思想进教材、进课堂、进头脑。把习近平新时代中国特色社会主义思想作为讲授重点。获得“全国重点马克思主义学院”、“辽宁省示范马克思主义学院”荣誉称号的学校，面向本科生开设“习近平新时代中国特色社会主义思想”必修课。高校结合本校实际，统筹校内通识类课程，确保学生至少从“四史”中选修1门课程。紧紧围绕新时代坚持和发展中国特色社会主义理论和实践，开设与思政课必修课相配套的系列选修课，加强以学习习近平新时代中国特色社会主义思想为核心内容的思政课课程群建设。推进思路攻坚、师资攻坚、教材攻坚、教法攻坚、机制攻坚。</w:t>
            </w:r>
          </w:p>
          <w:p>
            <w:pPr>
              <w:adjustRightInd w:val="0"/>
              <w:snapToGrid w:val="0"/>
              <w:spacing w:line="400" w:lineRule="exact"/>
              <w:ind w:firstLine="0" w:firstLineChars="0"/>
              <w:jc w:val="left"/>
              <w:rPr>
                <w:rFonts w:ascii="仿宋_GB2312" w:hAnsi="宋体" w:cs="Times New Roman"/>
                <w:sz w:val="24"/>
                <w:szCs w:val="24"/>
              </w:rPr>
            </w:pPr>
            <w:r>
              <w:rPr>
                <w:rFonts w:hint="eastAsia" w:ascii="仿宋_GB2312" w:hAnsi="宋体" w:cs="Times New Roman"/>
                <w:sz w:val="24"/>
                <w:szCs w:val="24"/>
              </w:rPr>
              <w:t>２.落实马克思主义学院建设标准，制定并落实以“课程思政”为目标的课堂教学改革方案，进一步实施高校思想政治理论课建设体系创新计划。思想政治理论课教学改革有方案、教育方式有创新，师生对课堂获得感强、满意度高。</w:t>
            </w:r>
          </w:p>
          <w:p>
            <w:pPr>
              <w:adjustRightInd w:val="0"/>
              <w:snapToGrid w:val="0"/>
              <w:spacing w:line="400" w:lineRule="exact"/>
              <w:ind w:firstLine="0" w:firstLineChars="0"/>
              <w:jc w:val="left"/>
              <w:rPr>
                <w:rFonts w:ascii="仿宋_GB2312" w:hAnsi="宋体" w:cs="Times New Roman"/>
                <w:sz w:val="24"/>
                <w:szCs w:val="24"/>
              </w:rPr>
            </w:pPr>
            <w:r>
              <w:rPr>
                <w:rFonts w:hint="eastAsia" w:ascii="仿宋_GB2312" w:hAnsi="宋体" w:cs="Times New Roman"/>
                <w:sz w:val="24"/>
                <w:szCs w:val="24"/>
              </w:rPr>
              <w:t>３.按照中央确定的课程方案开设课程，落实课程和学分及对应的课堂教学学时。使用马克思主义理论研究和建设工程重点教材、高校思想政治理论课最新版本统编教材，并纳入培养方案和教学过程。</w:t>
            </w:r>
          </w:p>
          <w:p>
            <w:pPr>
              <w:adjustRightInd w:val="0"/>
              <w:snapToGrid w:val="0"/>
              <w:spacing w:line="400" w:lineRule="exact"/>
              <w:ind w:firstLine="0" w:firstLineChars="0"/>
              <w:jc w:val="left"/>
              <w:rPr>
                <w:rFonts w:ascii="仿宋_GB2312" w:hAnsi="宋体" w:cs="Times New Roman"/>
                <w:sz w:val="24"/>
                <w:szCs w:val="24"/>
              </w:rPr>
            </w:pPr>
            <w:r>
              <w:rPr>
                <w:rFonts w:hint="eastAsia" w:ascii="仿宋_GB2312" w:hAnsi="宋体" w:cs="Times New Roman"/>
                <w:sz w:val="24"/>
                <w:szCs w:val="24"/>
              </w:rPr>
              <w:t>４.制定并落实形势与政策课集体备课制度，贯彻落实中组部、中宣部、教育部《关于领导干部上讲台开展思想政治教育的意见》，将领导干部上讲台列入教育教学计划，并组织实施具体教育教学活动。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1985" w:type="dxa"/>
            <w:vMerge w:val="continue"/>
            <w:vAlign w:val="center"/>
          </w:tcPr>
          <w:p>
            <w:pPr>
              <w:adjustRightInd w:val="0"/>
              <w:snapToGrid w:val="0"/>
              <w:spacing w:before="100" w:beforeAutospacing="1" w:after="100" w:afterAutospacing="1" w:line="360" w:lineRule="auto"/>
              <w:ind w:firstLine="0" w:firstLineChars="0"/>
              <w:rPr>
                <w:rFonts w:ascii="Calibri" w:hAnsi="Calibri" w:eastAsia="宋体" w:cs="Times New Roman"/>
                <w:b/>
                <w:bCs/>
                <w:color w:val="000000"/>
                <w:sz w:val="28"/>
                <w:szCs w:val="28"/>
              </w:rPr>
            </w:pPr>
          </w:p>
        </w:tc>
        <w:tc>
          <w:tcPr>
            <w:tcW w:w="2835" w:type="dxa"/>
            <w:tcBorders>
              <w:bottom w:val="single" w:color="auto" w:sz="4" w:space="0"/>
            </w:tcBorders>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2.2课程思政建设</w:t>
            </w:r>
          </w:p>
        </w:tc>
        <w:tc>
          <w:tcPr>
            <w:tcW w:w="9516" w:type="dxa"/>
            <w:tcBorders>
              <w:bottom w:val="single" w:color="auto" w:sz="4" w:space="0"/>
            </w:tcBorders>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 xml:space="preserve">1.制定学校课程育人工作方案，实施学校课程体系和教育教学创新计划方案，优化课程设置，完善课程设置管理制度。建设面向全体学生开设提高思想品德、人文素养、认知能力的哲学社会科学课程体系，守牢校园各类思想文化阵地。 </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2.梳理各门专业课程所蕴含的思想政治教育元素和所承载的思想政治教育功能，纳入专业课教材讲义内容和教学大纲，作为必要章节、课堂讲授重要内容和学生考核关键知识。</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3.建立课程标准审核和教案评价制度。制定加强课堂教学管理、提高教学质量的实施办法，明确课堂教学纪律要求。落实校领导和教学督导听课制度。</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4.发挥专业教师课程育人的主体作用，健全课程育人管理、运行体制，将课程育人作为教师思想政治工作的重要环节，作为教学督导和教师绩效考核、晋职晋级的重要评价内容。</w:t>
            </w:r>
          </w:p>
          <w:p>
            <w:pPr>
              <w:adjustRightInd w:val="0"/>
              <w:snapToGrid w:val="0"/>
              <w:spacing w:line="400" w:lineRule="exact"/>
              <w:ind w:firstLine="0" w:firstLineChars="0"/>
              <w:rPr>
                <w:rFonts w:ascii="仿宋_GB2312" w:hAnsi="Calibri" w:cs="Times New Roman"/>
                <w:b/>
                <w:sz w:val="24"/>
                <w:szCs w:val="24"/>
              </w:rPr>
            </w:pPr>
            <w:r>
              <w:rPr>
                <w:rFonts w:hint="eastAsia" w:ascii="仿宋_GB2312" w:hAnsi="宋体" w:cs="Times New Roman"/>
                <w:sz w:val="24"/>
                <w:szCs w:val="24"/>
              </w:rPr>
              <w:t>5.建设一批“课程思政”示范课程，推出一批“课程思政”改革先进典型。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b/>
                <w:bCs/>
                <w:color w:val="000000"/>
                <w:sz w:val="21"/>
                <w:szCs w:val="24"/>
              </w:rPr>
            </w:pPr>
            <w:r>
              <w:rPr>
                <w:rFonts w:hint="eastAsia" w:ascii="黑体" w:hAnsi="Calibri" w:eastAsia="黑体" w:cs="Times New Roman"/>
                <w:bCs/>
                <w:color w:val="000000"/>
                <w:sz w:val="24"/>
                <w:szCs w:val="24"/>
              </w:rPr>
              <w:t>3.科研育人</w:t>
            </w: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3.1科研管理制度设计</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1.优化学校科研管理制度，明确科研育人功能，改进科研环节和程序，把思想价值引领贯穿选题设计、科研立项、项目研究、成果运用全过程，把思想政治表现作为组建科研团队的底线要求。</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2.建立教研一体、学研相济的科教协同育人机制，制定产学研合作协同育人计划。坚持学术研究无禁区，课堂讲授有纪律。统筹安排教学资源与科研资源，配套设计教学大纲与科研计划。</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3.建立科研育人激励机制，完善科研评价标准，改进学术评价方法，建立健全导师（教师）科研育人考核评价指标体系，健全具有中国特色的学术评价标准和科研成果评价办法。</w:t>
            </w:r>
          </w:p>
          <w:p>
            <w:pPr>
              <w:adjustRightInd w:val="0"/>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4.健全优秀成果评选推广机制，服务国家和辽宁区域经济发展，促进全社会思想文化建设。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985" w:type="dxa"/>
            <w:vMerge w:val="continue"/>
            <w:vAlign w:val="center"/>
          </w:tcPr>
          <w:p>
            <w:pPr>
              <w:tabs>
                <w:tab w:val="left" w:pos="290"/>
                <w:tab w:val="center" w:pos="794"/>
              </w:tabs>
              <w:snapToGrid w:val="0"/>
              <w:spacing w:line="360" w:lineRule="exact"/>
              <w:ind w:firstLine="0" w:firstLineChars="0"/>
              <w:jc w:val="center"/>
              <w:rPr>
                <w:rFonts w:ascii="Calibri" w:hAnsi="Calibri" w:eastAsia="宋体" w:cs="Times New Roman"/>
                <w:b/>
                <w:bCs/>
                <w:color w:val="000000"/>
                <w:sz w:val="28"/>
                <w:szCs w:val="28"/>
              </w:rPr>
            </w:pP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3.2学术诚信体系建设</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1.制定科技工作道德行为规范和学术诚信教育管理办法。</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2.构建集教育、预防、监督、惩治于一体的学术诚信体系，治理遏制各种学术不端和科研失信行为。</w:t>
            </w:r>
          </w:p>
          <w:p>
            <w:pPr>
              <w:adjustRightInd w:val="0"/>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3.组织编写师生学术规范与学术道德读本，在本科生中开设相关专题讲座，在研究生中开设相应公选课程。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1985" w:type="dxa"/>
            <w:vMerge w:val="continue"/>
            <w:vAlign w:val="center"/>
          </w:tcPr>
          <w:p>
            <w:pPr>
              <w:tabs>
                <w:tab w:val="left" w:pos="290"/>
                <w:tab w:val="center" w:pos="794"/>
              </w:tabs>
              <w:snapToGrid w:val="0"/>
              <w:spacing w:line="360" w:lineRule="exact"/>
              <w:ind w:firstLine="0" w:firstLineChars="0"/>
              <w:jc w:val="center"/>
              <w:rPr>
                <w:rFonts w:ascii="Calibri" w:hAnsi="Calibri" w:eastAsia="宋体" w:cs="Times New Roman"/>
                <w:b/>
                <w:bCs/>
                <w:color w:val="000000"/>
                <w:sz w:val="28"/>
                <w:szCs w:val="28"/>
              </w:rPr>
            </w:pPr>
          </w:p>
        </w:tc>
        <w:tc>
          <w:tcPr>
            <w:tcW w:w="2835" w:type="dxa"/>
            <w:vAlign w:val="center"/>
          </w:tcPr>
          <w:p>
            <w:pPr>
              <w:spacing w:line="400" w:lineRule="exact"/>
              <w:ind w:firstLine="0" w:firstLineChars="0"/>
              <w:jc w:val="center"/>
              <w:rPr>
                <w:rFonts w:ascii="仿宋_GB2312" w:hAnsi="Calibri" w:cs="Times New Roman"/>
                <w:color w:val="000000"/>
                <w:sz w:val="24"/>
                <w:szCs w:val="24"/>
              </w:rPr>
            </w:pPr>
            <w:r>
              <w:rPr>
                <w:rFonts w:hint="eastAsia" w:ascii="仿宋_GB2312" w:hAnsi="Calibri" w:cs="Times New Roman"/>
                <w:color w:val="000000"/>
                <w:sz w:val="24"/>
                <w:szCs w:val="24"/>
              </w:rPr>
              <w:t>3.3创新平台与团队建设</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1.加强科技创新平台建设，搭建师生科研交流互动舞台，培养师生科学精神和创新意识。</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2.推动实施科研创新团队培育支持计划，制定科研创新团队培育工作方案，引导师生积极参与科技创新团队和科研训练，及时掌握科技前沿动态，培养集体攻关、联合攻坚的团队精神和协作意识。</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3.用好各类创新创业教育基金，依托各类创新创业平台载体，做好大学生创业孵化服务，组织办好创新创业竞赛等，增强创新创业教育针对性和实战型。</w:t>
            </w:r>
          </w:p>
          <w:p>
            <w:pPr>
              <w:adjustRightInd w:val="0"/>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4.加大学术名家、优秀学术团队先进事迹的宣传教育力度。大力培育全国高校黄大年式教师团队，培养选树一批科研育人示范项目、示范团队。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5"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sz w:val="21"/>
                <w:szCs w:val="24"/>
              </w:rPr>
            </w:pPr>
            <w:r>
              <w:rPr>
                <w:rFonts w:hint="eastAsia" w:ascii="黑体" w:hAnsi="Calibri" w:eastAsia="黑体" w:cs="Times New Roman"/>
                <w:bCs/>
                <w:color w:val="000000"/>
                <w:sz w:val="24"/>
                <w:szCs w:val="24"/>
              </w:rPr>
              <w:t>4.实践育人</w:t>
            </w:r>
          </w:p>
        </w:tc>
        <w:tc>
          <w:tcPr>
            <w:tcW w:w="2835" w:type="dxa"/>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4.1社会实践长效机制</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构建“党委统筹部署、政府扎实推动、社会广泛参与、高校着力实施”的实践育人协同体系，推动专业课实践教学、社会实践活动、创新创业教育、志愿服务、军事训练、劳动教育等载体有机融合，形成实践育人统筹推进工作格局。</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2.深入推进实践教学改革，分类制订实践教学标准，适度增加实践教学比重，原则上哲学社会科学类专业实践教学不少于总学分（学时）的15%，理工农医类专业不少于25%。</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3.丰富实践内容，创新实践形式，广泛开展社会调查、生产劳动、社会公益、志愿服务、科技发明、勤工助学等社会实践活动。</w:t>
            </w:r>
          </w:p>
          <w:p>
            <w:pPr>
              <w:adjustRightInd w:val="0"/>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4.整合实践资源，拓展实践平台，依托高新技术开发区、大学科技园、城市社区、农村乡镇、工矿企业、爱国主义教育场所等，建立多种形式的社会实践、创业实习基地。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1985" w:type="dxa"/>
            <w:vMerge w:val="continue"/>
            <w:vAlign w:val="center"/>
          </w:tcPr>
          <w:p>
            <w:pPr>
              <w:spacing w:line="240" w:lineRule="auto"/>
              <w:ind w:firstLine="0" w:firstLineChars="0"/>
              <w:jc w:val="center"/>
              <w:rPr>
                <w:rFonts w:ascii="Calibri" w:hAnsi="Calibri" w:eastAsia="宋体" w:cs="Times New Roman"/>
                <w:sz w:val="21"/>
                <w:szCs w:val="24"/>
              </w:rPr>
            </w:pPr>
          </w:p>
        </w:tc>
        <w:tc>
          <w:tcPr>
            <w:tcW w:w="2835" w:type="dxa"/>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4.2创新创业教育</w:t>
            </w:r>
          </w:p>
        </w:tc>
        <w:tc>
          <w:tcPr>
            <w:tcW w:w="9516" w:type="dxa"/>
            <w:vAlign w:val="center"/>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1.加强创新创业教育，开发专门课程，健全课程体系。</w:t>
            </w:r>
          </w:p>
          <w:p>
            <w:pPr>
              <w:adjustRightInd w:val="0"/>
              <w:snapToGrid w:val="0"/>
              <w:spacing w:line="400" w:lineRule="exact"/>
              <w:ind w:firstLine="0" w:firstLineChars="0"/>
              <w:rPr>
                <w:rFonts w:ascii="仿宋_GB2312" w:hAnsi="Calibri" w:cs="Times New Roman"/>
                <w:spacing w:val="4"/>
                <w:sz w:val="24"/>
                <w:szCs w:val="24"/>
              </w:rPr>
            </w:pPr>
            <w:r>
              <w:rPr>
                <w:rFonts w:hint="eastAsia" w:ascii="仿宋_GB2312" w:hAnsi="宋体" w:cs="Times New Roman"/>
                <w:sz w:val="24"/>
                <w:szCs w:val="24"/>
              </w:rPr>
              <w:t>2.推进实施“大学生创新创业训练计划”，支持学生成立创新创业类社团，制定相关管理制度，完善支持机制。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8" w:hRule="atLeast"/>
        </w:trPr>
        <w:tc>
          <w:tcPr>
            <w:tcW w:w="1985" w:type="dxa"/>
            <w:vMerge w:val="continue"/>
            <w:vAlign w:val="center"/>
          </w:tcPr>
          <w:p>
            <w:pPr>
              <w:spacing w:line="240" w:lineRule="auto"/>
              <w:ind w:firstLine="0" w:firstLineChars="0"/>
              <w:jc w:val="center"/>
              <w:rPr>
                <w:rFonts w:ascii="Calibri" w:hAnsi="Calibri" w:eastAsia="宋体" w:cs="Times New Roman"/>
                <w:sz w:val="21"/>
                <w:szCs w:val="24"/>
              </w:rPr>
            </w:pPr>
          </w:p>
        </w:tc>
        <w:tc>
          <w:tcPr>
            <w:tcW w:w="2835" w:type="dxa"/>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4.3精品项目建设</w:t>
            </w:r>
          </w:p>
        </w:tc>
        <w:tc>
          <w:tcPr>
            <w:tcW w:w="9516" w:type="dxa"/>
            <w:vAlign w:val="center"/>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1.建立社会实践精品项目支持制度，探索开展师生志愿服务评价认证，发挥实践育人示范作用。</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深入开展好大学生暑期“三下乡”“志愿服务西部计划”“志愿服务辽西北”等传统经典项目。组织实施好“牢记时代使命，书写人生华章——学习宣传贯彻习近平新时代中国特色社会主义思想主题社会实践”“青年红色筑梦之旅”“‘小我融入大我，青春献给祖国’主题社会实践”等新时代实践育人精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b/>
                <w:bCs/>
                <w:color w:val="000000"/>
                <w:sz w:val="21"/>
                <w:szCs w:val="24"/>
              </w:rPr>
            </w:pPr>
            <w:r>
              <w:rPr>
                <w:rFonts w:hint="eastAsia" w:ascii="黑体" w:hAnsi="Calibri" w:eastAsia="黑体" w:cs="Times New Roman"/>
                <w:bCs/>
                <w:color w:val="000000"/>
                <w:sz w:val="24"/>
                <w:szCs w:val="24"/>
              </w:rPr>
              <w:t>5.文化育人</w:t>
            </w: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5.1社会主义核心价值观教育</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1.加强培育和践行社会主义核心价值观长效机制建设，把社会主义核心价值观体现到育人全过程，工作有方案、有成效。</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开展师生社会主义核心价值观主题教育活动，以党史学习教育为重点，加强党史、新中国史、改革开放史、社会主义发展史教育，定期举行集体升国旗、唱国歌仪式，有效利用重大活动、开学典礼、毕业典礼、重大纪念日、主题党团日等契机和重点文化基础设施进行爱国主义、集体主义、社会主义教育，引导师生坚定道路自信、理论自信、制度自信、文化自信。</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3.培育、选树和宣传一批学习励志、实践奉献、参军报国、诚信友善、创新创业、志愿服务等方面践行社会主义核心价值观的先进典型，营造积极向上的校风学风。</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4.深入贯彻落实《新时代公民道德建设实施纲要》，把社会公德、职业道德、家庭美德、个人品德建设作为着力点，持续强化教育引导、实践养成、制度保障，不断提升师生道德素质，促进师生全面发展。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985" w:type="dxa"/>
            <w:vMerge w:val="continue"/>
            <w:vAlign w:val="center"/>
          </w:tcPr>
          <w:p>
            <w:pPr>
              <w:spacing w:line="240" w:lineRule="auto"/>
              <w:ind w:firstLine="0" w:firstLineChars="0"/>
              <w:rPr>
                <w:rFonts w:ascii="Calibri" w:hAnsi="Calibri" w:eastAsia="宋体" w:cs="Times New Roman"/>
                <w:b/>
                <w:bCs/>
                <w:color w:val="000000"/>
                <w:sz w:val="28"/>
                <w:szCs w:val="28"/>
              </w:rPr>
            </w:pP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5.2社会主义先进文化教育</w:t>
            </w:r>
          </w:p>
        </w:tc>
        <w:tc>
          <w:tcPr>
            <w:tcW w:w="9516" w:type="dxa"/>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推进中华优秀传统文化教育，组织实施“中华经典诵读工程”“中国传统节日振兴工程”，开展“礼敬中华优秀传统文化”“戏曲进校园”等文化建设活动。培育具有学校特色的体育艺术文化成果，建设一批文化传承基地，工作有方案、成果有展示，引导高雅艺术、非物质文化、民族民间优秀文化走近师生。</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2.挖掘革命文化的育人内涵，推进实施“革命文化教育资源库建设工程”，组织编排展演以革命先驱为原型的舞台剧、以革命精神为主题的歌舞音乐、以革命文化为内涵的网络作品。</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3.有效利用重大纪念日契机和重点文化基础设施开展革命文化教育。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985" w:type="dxa"/>
            <w:vMerge w:val="continue"/>
            <w:vAlign w:val="center"/>
          </w:tcPr>
          <w:p>
            <w:pPr>
              <w:spacing w:line="240" w:lineRule="auto"/>
              <w:ind w:firstLine="0" w:firstLineChars="0"/>
              <w:rPr>
                <w:rFonts w:ascii="Calibri" w:hAnsi="Calibri" w:eastAsia="宋体" w:cs="Times New Roman"/>
                <w:b/>
                <w:bCs/>
                <w:color w:val="000000"/>
                <w:sz w:val="28"/>
                <w:szCs w:val="28"/>
              </w:rPr>
            </w:pP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5.3校园文化建设</w:t>
            </w:r>
          </w:p>
        </w:tc>
        <w:tc>
          <w:tcPr>
            <w:tcW w:w="9516"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1.制定校园文化建设的总体规划，有年度工作实施计划和重要项目。创新校园文化品牌。挖掘校史校风校训校歌的教育作用，推进“一校一品”校园文化建设，建设特色校园文化。</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2.推进实施“高校原创文化经典推广行动计划”，支持师生原创歌剧、舞蹈、音乐、影视等文艺精品扩大影响力和辐射力.</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3.建设美丽校园，实现校园山、水、园、林、路、馆建设达到使用、审美、教育功能的和谐统一。</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4.广泛开展“我的中国梦”等主题教育活动，推选展示一批高校校园文化建设优秀成果。</w:t>
            </w:r>
          </w:p>
          <w:p>
            <w:pPr>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5.积极开展文明校园创建，把学校建设成为社会主义精神文明高地。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8"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sz w:val="21"/>
                <w:szCs w:val="24"/>
              </w:rPr>
            </w:pPr>
            <w:r>
              <w:rPr>
                <w:rFonts w:hint="eastAsia" w:ascii="黑体" w:hAnsi="Calibri" w:eastAsia="黑体" w:cs="Times New Roman"/>
                <w:bCs/>
                <w:color w:val="000000"/>
                <w:sz w:val="24"/>
                <w:szCs w:val="24"/>
              </w:rPr>
              <w:t>6．网络育人</w:t>
            </w:r>
          </w:p>
        </w:tc>
        <w:tc>
          <w:tcPr>
            <w:tcW w:w="2835" w:type="dxa"/>
            <w:tcBorders>
              <w:bottom w:val="single" w:color="auto" w:sz="4" w:space="0"/>
            </w:tcBorders>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6.1网络教育机制</w:t>
            </w:r>
          </w:p>
        </w:tc>
        <w:tc>
          <w:tcPr>
            <w:tcW w:w="9516" w:type="dxa"/>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坚守网络意识形态阵地，统筹谋划网络建设、网络管理、网络评论、网络研究等方面的建设工作，强化网络意识，提高建网用网管网能力。建设完善校内思想政治工作网站，打造信息发布、工作交流和数据分析平台，加强思想政治工作信息管理系统共建与资源互享。</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重视网络文明建设，制定有关工作制度，对推动网络文明教育有整体设计和系统规划。加强师生网络素养教育，开展具有针对性的培养培训。引导师生增强网络安全意识，遵守网络行为规范，养成文明网络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1985" w:type="dxa"/>
            <w:vMerge w:val="continue"/>
            <w:vAlign w:val="center"/>
          </w:tcPr>
          <w:p>
            <w:pPr>
              <w:spacing w:line="240" w:lineRule="auto"/>
              <w:ind w:firstLine="0" w:firstLineChars="0"/>
              <w:rPr>
                <w:rFonts w:ascii="Calibri" w:hAnsi="Calibri" w:eastAsia="宋体" w:cs="Times New Roman"/>
                <w:b/>
                <w:bCs/>
                <w:color w:val="000000"/>
                <w:sz w:val="28"/>
                <w:szCs w:val="28"/>
              </w:rPr>
            </w:pPr>
          </w:p>
        </w:tc>
        <w:tc>
          <w:tcPr>
            <w:tcW w:w="2835" w:type="dxa"/>
            <w:tcBorders>
              <w:bottom w:val="single" w:color="auto" w:sz="4" w:space="0"/>
            </w:tcBorders>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6.2网络平台建设</w:t>
            </w:r>
          </w:p>
        </w:tc>
        <w:tc>
          <w:tcPr>
            <w:tcW w:w="9516" w:type="dxa"/>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1.充分重视全国高校校园网站联盟作用，积极参与高校思想政治工作网、易班网和中国大学生在线全国共建，推选展示校园网络名站名栏。推进高校“易班”网络思想政治教育内容“供给侧”改革。</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 xml:space="preserve">2.建设校园网络新媒体矩阵，建设一批高校思政类公众号，培育新媒体教育品牌，发挥新媒体平台对高校思政工作的促进作用。 </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3.丰富网络内容，积极组织开展“大学生网络文化节”“高校网络育人优秀作品推选展示”“网络文明进校园”等网络文化建设活动，推广展示一批“网络名篇名作”，丰富正面舆论供给。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4" w:hRule="atLeast"/>
        </w:trPr>
        <w:tc>
          <w:tcPr>
            <w:tcW w:w="1985" w:type="dxa"/>
            <w:vMerge w:val="continue"/>
          </w:tcPr>
          <w:p>
            <w:pPr>
              <w:spacing w:line="240" w:lineRule="auto"/>
              <w:ind w:firstLine="0" w:firstLineChars="0"/>
              <w:rPr>
                <w:rFonts w:ascii="Calibri" w:hAnsi="Calibri" w:eastAsia="宋体" w:cs="Times New Roman"/>
                <w:sz w:val="21"/>
                <w:szCs w:val="24"/>
              </w:rPr>
            </w:pPr>
          </w:p>
        </w:tc>
        <w:tc>
          <w:tcPr>
            <w:tcW w:w="2835" w:type="dxa"/>
            <w:vAlign w:val="center"/>
          </w:tcPr>
          <w:p>
            <w:pPr>
              <w:snapToGrid w:val="0"/>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6.3网络成果评价</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1.优化成果评价，制定网络文化成果评价认证办法，将优秀网络文化成果纳入科研成果统计、列为教师职务职称评聘条件、作为师生评奖评优依据。</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培养网络力量，制定“网络教育名师培育支持计划”“校园好网民培养选树计划”实施方案，动员引导广大教师，特别是学术大师、教学名师、优秀导师、辅导员班主任重视网络文明、参与网络育人，建设一支政治强、业务精、作风硬的网络工作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8"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黑体" w:hAnsi="Calibri" w:eastAsia="黑体" w:cs="Times New Roman"/>
                <w:bCs/>
                <w:color w:val="000000"/>
                <w:sz w:val="24"/>
                <w:szCs w:val="24"/>
              </w:rPr>
            </w:pPr>
            <w:r>
              <w:rPr>
                <w:rFonts w:hint="eastAsia" w:ascii="黑体" w:hAnsi="Calibri" w:eastAsia="黑体" w:cs="Times New Roman"/>
                <w:bCs/>
                <w:color w:val="000000"/>
                <w:sz w:val="24"/>
                <w:szCs w:val="24"/>
              </w:rPr>
              <w:t>7.心理育人</w:t>
            </w:r>
          </w:p>
          <w:p>
            <w:pPr>
              <w:tabs>
                <w:tab w:val="left" w:pos="290"/>
                <w:tab w:val="center" w:pos="794"/>
              </w:tabs>
              <w:snapToGrid w:val="0"/>
              <w:spacing w:line="360" w:lineRule="exact"/>
              <w:ind w:firstLine="0" w:firstLineChars="0"/>
              <w:jc w:val="center"/>
              <w:rPr>
                <w:rFonts w:ascii="Calibri" w:hAnsi="Calibri" w:eastAsia="宋体" w:cs="Times New Roman"/>
                <w:sz w:val="21"/>
                <w:szCs w:val="24"/>
              </w:rPr>
            </w:pP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7.1心理健康教育</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1.加强知识教育，把心理健康教育课程纳入学校整体教学计划，实现心理健康知识教育全覆盖。</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2.开展宣传活动，举办“5·25”大学生心理健康节等品牌活动，充分利用网络、广播、微信公众号、APP等媒体，营造心理健康教育良好氛围，提高师生心理保健能力。</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3.强化咨询服务，提高心理健康教育咨询与服务中心建设水平，按照师生比不低于1：4000配备心理健康教育专业教师，每校至少配备2名专业教师。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5" w:hRule="atLeast"/>
        </w:trPr>
        <w:tc>
          <w:tcPr>
            <w:tcW w:w="1985" w:type="dxa"/>
            <w:vMerge w:val="continue"/>
            <w:vAlign w:val="center"/>
          </w:tcPr>
          <w:p>
            <w:pPr>
              <w:spacing w:line="240" w:lineRule="auto"/>
              <w:ind w:firstLine="0" w:firstLineChars="0"/>
              <w:rPr>
                <w:rFonts w:ascii="Calibri" w:hAnsi="Calibri" w:eastAsia="宋体" w:cs="Times New Roman"/>
                <w:sz w:val="21"/>
                <w:szCs w:val="24"/>
              </w:rPr>
            </w:pP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7.2预防干预体系建设</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预防干预，积极应用《中国大学生心理健康筛查量表》和“中国大学生心理健康网络测评系统”，开展大学生心理健康教育工作及新生心理健康普查，建立在校学生心理健康档案，提高心理健康素质测评的覆盖面和科学性。</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2.建立学校、院系、班级、宿舍“四级”预警防控体系，完善心理危机干预工作预案。建立转介诊疗机制，提升工作前瞻性、针对性。</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3.完善工作保障，研制师生心理健康教育工作实施方案，保证生均经费投入和心理咨询辅导专用场地面积，建设校内外心理健康教育素质拓展培养基地，培育建设“高校心理健康教育示范中心”。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sz w:val="21"/>
                <w:szCs w:val="24"/>
              </w:rPr>
            </w:pPr>
            <w:r>
              <w:rPr>
                <w:rFonts w:hint="eastAsia" w:ascii="黑体" w:hAnsi="Calibri" w:eastAsia="黑体" w:cs="Times New Roman"/>
                <w:bCs/>
                <w:color w:val="000000"/>
                <w:sz w:val="24"/>
                <w:szCs w:val="24"/>
              </w:rPr>
              <w:t>8</w:t>
            </w:r>
            <w:r>
              <w:rPr>
                <w:rFonts w:ascii="黑体" w:hAnsi="Calibri" w:eastAsia="黑体" w:cs="Times New Roman"/>
                <w:bCs/>
                <w:color w:val="000000"/>
                <w:sz w:val="24"/>
                <w:szCs w:val="24"/>
              </w:rPr>
              <w:t>.</w:t>
            </w:r>
            <w:r>
              <w:rPr>
                <w:rFonts w:hint="eastAsia" w:ascii="黑体" w:hAnsi="Calibri" w:eastAsia="黑体" w:cs="Times New Roman"/>
                <w:bCs/>
                <w:color w:val="000000"/>
                <w:sz w:val="24"/>
                <w:szCs w:val="24"/>
              </w:rPr>
              <w:t>管理育人</w:t>
            </w:r>
          </w:p>
        </w:tc>
        <w:tc>
          <w:tcPr>
            <w:tcW w:w="2835" w:type="dxa"/>
            <w:vAlign w:val="center"/>
          </w:tcPr>
          <w:p>
            <w:pPr>
              <w:snapToGrid w:val="0"/>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8.1教育法律法规体系</w:t>
            </w:r>
          </w:p>
        </w:tc>
        <w:tc>
          <w:tcPr>
            <w:tcW w:w="9516" w:type="dxa"/>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1.健全依法治校、管理育人制度体系，制（修）订完善学校教育规章制度，保障师生员工合法权益。</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2.结合大学章程、校规校纪、自律公约修订完善，研究梳理高校各管理岗位的育人元素，编制岗位说明书，明确管理育人的内容和路径，丰富完善不同岗位、不同群体公约体系，引导师生培育自觉、强化自律。</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3.建立和完善党委统一领导、党政齐抓共管、院系具体落实、教师自我约束的师德师风建设领导体制和工作机制，努力培养锻造坚持“四个相统一”的师资队伍。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1985" w:type="dxa"/>
            <w:vMerge w:val="continue"/>
            <w:vAlign w:val="center"/>
          </w:tcPr>
          <w:p>
            <w:pPr>
              <w:spacing w:line="240" w:lineRule="auto"/>
              <w:ind w:firstLine="0" w:firstLineChars="0"/>
              <w:rPr>
                <w:rFonts w:ascii="Calibri" w:hAnsi="Calibri" w:eastAsia="宋体" w:cs="Times New Roman"/>
                <w:b/>
                <w:bCs/>
                <w:color w:val="000000"/>
                <w:sz w:val="28"/>
                <w:szCs w:val="28"/>
              </w:rPr>
            </w:pPr>
          </w:p>
        </w:tc>
        <w:tc>
          <w:tcPr>
            <w:tcW w:w="2835" w:type="dxa"/>
            <w:vAlign w:val="center"/>
          </w:tcPr>
          <w:p>
            <w:pPr>
              <w:snapToGrid w:val="0"/>
              <w:spacing w:line="400" w:lineRule="exact"/>
              <w:ind w:firstLine="0" w:firstLineChars="0"/>
              <w:rPr>
                <w:rFonts w:ascii="仿宋_GB2312" w:hAnsi="仿宋_GB2312" w:cs="仿宋_GB2312"/>
                <w:spacing w:val="4"/>
                <w:sz w:val="24"/>
                <w:szCs w:val="24"/>
              </w:rPr>
            </w:pPr>
            <w:r>
              <w:rPr>
                <w:rFonts w:hint="eastAsia" w:ascii="仿宋_GB2312" w:hAnsi="Calibri" w:cs="Times New Roman"/>
                <w:color w:val="000000"/>
                <w:sz w:val="24"/>
                <w:szCs w:val="24"/>
              </w:rPr>
              <w:t>8.2管理考核评价体系</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按照好干部标准，选好配强各级领导干部和领导班子。制定管理干部培训五年规划，提高各类管理干部育人能力。建立干部考核评价、激励监督机制，重视考核结果运用。坚持从严管理干部，个人事项报告、离任经济责任审计、兼职管理、出国（境）审批管理等工作有制度，管理到位。</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严把教师聘用、人才引进政治考核关，严格教师资格和准入制度，建立健全师德考核制度，贯彻落实到位。学校党委负责对教师的思想政治、品德学风进行综合考察和把关，在新教工的招聘中突出对其思想政治状况的考察。新教师入职培训开设师德教育专题，在优秀教师团队培养以及骨干教师、学科带头人和学科领军人物培育过程中，有师德教育方面的专题内容。</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3.加强经费使用管理，科学编制经费预算，确保教育经费投入的育人导向。</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4.健全依法治校评价指标体系，深入开展依法治校创建活动。把育人功能发挥纳入管理岗位考核评价范围，作为评奖评优条件。培育一批“管理育人示范岗”，引导管理干部用良好的管理模式和管理行为影响和培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b/>
                <w:sz w:val="21"/>
                <w:szCs w:val="24"/>
              </w:rPr>
            </w:pPr>
            <w:r>
              <w:rPr>
                <w:rFonts w:hint="eastAsia" w:ascii="黑体" w:hAnsi="Calibri" w:eastAsia="黑体" w:cs="Times New Roman"/>
                <w:bCs/>
                <w:color w:val="000000"/>
                <w:sz w:val="24"/>
                <w:szCs w:val="24"/>
              </w:rPr>
              <w:t>9.服务育人</w:t>
            </w: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9.1服务目标责任</w:t>
            </w:r>
          </w:p>
        </w:tc>
        <w:tc>
          <w:tcPr>
            <w:tcW w:w="9516" w:type="dxa"/>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1.研究梳理各类服务岗位所承载的育人功能，强化育人要求，明确育人职能，在聘用、培训、考核等各环节制定育人工作职责要求。</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2.加强监督考核，落实服务目标责任制，把服务质量和育人效果作为评价服务岗位效能的依据和标准。选树一批服务育人先进典型模范，培育一批高校“服务育人示范岗”。</w:t>
            </w:r>
          </w:p>
          <w:p>
            <w:pPr>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3.增强供给能力，建设校园综合信息服务系统，充分满足师生学习、生活、工作中的合理需求。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985" w:type="dxa"/>
            <w:vMerge w:val="continue"/>
            <w:vAlign w:val="center"/>
          </w:tcPr>
          <w:p>
            <w:pPr>
              <w:spacing w:line="360" w:lineRule="exact"/>
              <w:ind w:firstLine="0" w:firstLineChars="0"/>
              <w:rPr>
                <w:rFonts w:ascii="楷体_GB2312" w:hAnsi="黑体" w:eastAsia="楷体_GB2312" w:cs="黑体"/>
                <w:b/>
                <w:spacing w:val="4"/>
                <w:sz w:val="30"/>
                <w:szCs w:val="30"/>
              </w:rPr>
            </w:pP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9.2专题教育活动</w:t>
            </w:r>
          </w:p>
        </w:tc>
        <w:tc>
          <w:tcPr>
            <w:tcW w:w="9516" w:type="dxa"/>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1.推动“一站式”学生社区建设。依托书院、宿舍等学生生活园区，探索学生组织形式、管理模式、服务机制改革，将园区打造成为集学生思想教育、师生交流、文化活动、生活服务于一体的教育生活园地。</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 xml:space="preserve">2.实施后勤员工素质提升计划，切实提高后勤保障水平和服务育人能力。持续开展“节粮节水节电”“节能宣传周”等主题教育活动，大力建设节约型校园和绿色校园。 </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3.建设文献信息资源体系和服务体系，优化服务空间，注重用户体验，提高馆藏利用率和服务效率。开展信息素质教育，引导师生尊重和保护知识产权，维护信息安全。</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4.制订健康教育教学计划，开展传染病预防、安全应急与急救等专题健康教育活动，培养师生公共卫生意识和卫生行为习惯。</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5.加强人防物防技防建设，全面开展安全教育，提高安保效能，培养师生安全意识和法制观念。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85" w:type="dxa"/>
            <w:vMerge w:val="restart"/>
            <w:vAlign w:val="center"/>
          </w:tcPr>
          <w:p>
            <w:pPr>
              <w:spacing w:line="360" w:lineRule="exact"/>
              <w:ind w:firstLine="0" w:firstLineChars="0"/>
              <w:jc w:val="center"/>
              <w:rPr>
                <w:rFonts w:ascii="Calibri" w:hAnsi="Calibri" w:eastAsia="宋体" w:cs="Times New Roman"/>
                <w:b/>
                <w:bCs/>
                <w:color w:val="000000"/>
                <w:sz w:val="28"/>
                <w:szCs w:val="28"/>
              </w:rPr>
            </w:pPr>
          </w:p>
          <w:p>
            <w:pPr>
              <w:adjustRightInd w:val="0"/>
              <w:snapToGrid w:val="0"/>
              <w:spacing w:before="100" w:beforeAutospacing="1" w:after="100" w:afterAutospacing="1" w:line="360" w:lineRule="auto"/>
              <w:ind w:firstLine="0" w:firstLineChars="0"/>
              <w:rPr>
                <w:rFonts w:ascii="黑体" w:hAnsi="Calibri" w:eastAsia="黑体" w:cs="Times New Roman"/>
                <w:bCs/>
                <w:color w:val="000000"/>
                <w:sz w:val="24"/>
                <w:szCs w:val="24"/>
              </w:rPr>
            </w:pPr>
            <w:r>
              <w:rPr>
                <w:rFonts w:hint="eastAsia" w:ascii="黑体" w:hAnsi="Calibri" w:eastAsia="黑体" w:cs="Times New Roman"/>
                <w:bCs/>
                <w:color w:val="000000"/>
                <w:sz w:val="24"/>
                <w:szCs w:val="24"/>
              </w:rPr>
              <w:t>10.资助育人</w:t>
            </w:r>
          </w:p>
          <w:p>
            <w:pPr>
              <w:spacing w:line="360" w:lineRule="exact"/>
              <w:ind w:firstLine="0" w:firstLineChars="0"/>
              <w:rPr>
                <w:rFonts w:ascii="Calibri" w:hAnsi="Calibri" w:eastAsia="宋体" w:cs="Times New Roman"/>
                <w:b/>
                <w:bCs/>
                <w:color w:val="000000"/>
                <w:sz w:val="28"/>
                <w:szCs w:val="28"/>
              </w:rPr>
            </w:pPr>
          </w:p>
          <w:p>
            <w:pPr>
              <w:spacing w:line="360" w:lineRule="exact"/>
              <w:ind w:firstLine="0" w:firstLineChars="0"/>
              <w:jc w:val="center"/>
              <w:rPr>
                <w:rFonts w:ascii="Calibri" w:hAnsi="Calibri" w:eastAsia="宋体" w:cs="Times New Roman"/>
                <w:b/>
                <w:bCs/>
                <w:color w:val="000000"/>
                <w:sz w:val="28"/>
                <w:szCs w:val="28"/>
              </w:rPr>
            </w:pP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10.1资助工作体系</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1.加强资助工作顶层设计，建立资助管理规范，完善勤工助学管理办法，构建资助对象、资助标准、资金分配、资金发放协调联动的精准资助工作体系。</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精准认定家庭经济困难学生，建立健全国家资助、学校奖助、社会捐助、学生自助“四位一体”的发展型资助体系，采用家访、大数据分析和谈心谈话等方式，合理确定认定标准，建立家庭经济困难学生档案，实施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985" w:type="dxa"/>
            <w:vMerge w:val="continue"/>
            <w:vAlign w:val="center"/>
          </w:tcPr>
          <w:p>
            <w:pPr>
              <w:spacing w:line="240" w:lineRule="auto"/>
              <w:ind w:firstLine="0" w:firstLineChars="0"/>
              <w:rPr>
                <w:rFonts w:ascii="Calibri" w:hAnsi="Calibri" w:eastAsia="宋体" w:cs="Times New Roman"/>
                <w:sz w:val="21"/>
                <w:szCs w:val="24"/>
              </w:rPr>
            </w:pP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10.2资助教育活动</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1.坚持资助育人导向，在奖学金评选发放环节，全面考察学生的学习成绩、创新发展、社会实践及道德品质等方面的综合表现，培养学生奋斗精神和感恩意识。</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3.创新资助育人形式，实施“发展型资助的育人行动计划”“家庭经济困难学生能力素养培育计划”，开展“助学</w:t>
            </w:r>
            <w:r>
              <w:rPr>
                <w:rFonts w:hint="eastAsia" w:ascii="仿宋_GB2312" w:hAnsi="宋体" w:eastAsia="宋体" w:cs="Times New Roman"/>
                <w:sz w:val="24"/>
                <w:szCs w:val="24"/>
              </w:rPr>
              <w:t>﹒</w:t>
            </w:r>
            <w:r>
              <w:rPr>
                <w:rFonts w:hint="eastAsia" w:ascii="仿宋_GB2312" w:hAnsi="宋体" w:cs="Times New Roman"/>
                <w:sz w:val="24"/>
                <w:szCs w:val="24"/>
              </w:rPr>
              <w:t>筑梦</w:t>
            </w:r>
            <w:r>
              <w:rPr>
                <w:rFonts w:hint="eastAsia" w:ascii="仿宋_GB2312" w:hAnsi="宋体" w:eastAsia="宋体" w:cs="Times New Roman"/>
                <w:sz w:val="24"/>
                <w:szCs w:val="24"/>
              </w:rPr>
              <w:t>﹒</w:t>
            </w:r>
            <w:r>
              <w:rPr>
                <w:rFonts w:hint="eastAsia" w:ascii="仿宋_GB2312" w:hAnsi="宋体" w:cs="Times New Roman"/>
                <w:sz w:val="24"/>
                <w:szCs w:val="24"/>
              </w:rPr>
              <w:t>铸人”“诚信校园行”等主题教育活动，组织国家奖学金获奖学生担任“学生资助宣传大使”。积极推选展示资助育人优秀案例和先进人物。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0"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sz w:val="21"/>
                <w:szCs w:val="24"/>
              </w:rPr>
            </w:pPr>
            <w:r>
              <w:rPr>
                <w:rFonts w:hint="eastAsia" w:ascii="黑体" w:hAnsi="Calibri" w:eastAsia="黑体" w:cs="Times New Roman"/>
                <w:bCs/>
                <w:color w:val="000000"/>
                <w:sz w:val="24"/>
                <w:szCs w:val="24"/>
              </w:rPr>
              <w:t>11.组织育人</w:t>
            </w: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11.1党组织建设</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发挥各级党组织的育人保障功能，进一步理顺高校党委的领导体制机制，明确高校党委职责和决策机制，健全和完善高校党委领导下的校长负责制，推动学校各级党组织自觉担负起管党治党、办学治校、育人育才的主体责任。</w:t>
            </w:r>
          </w:p>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2.组织开展高校党建工作自我评估，全面推开校、院（系）党组织书记抓基层党建述职评议。</w:t>
            </w:r>
          </w:p>
          <w:p>
            <w:pPr>
              <w:snapToGrid w:val="0"/>
              <w:spacing w:line="400" w:lineRule="exact"/>
              <w:ind w:firstLine="0" w:firstLineChars="0"/>
              <w:rPr>
                <w:rFonts w:ascii="仿宋_GB2312" w:hAnsi="Calibri" w:cs="Times New Roman"/>
                <w:color w:val="000000"/>
                <w:sz w:val="24"/>
                <w:szCs w:val="24"/>
              </w:rPr>
            </w:pPr>
            <w:r>
              <w:rPr>
                <w:rFonts w:hint="eastAsia" w:ascii="仿宋_GB2312" w:hAnsi="宋体" w:cs="Times New Roman"/>
                <w:sz w:val="24"/>
                <w:szCs w:val="24"/>
              </w:rPr>
              <w:t>3.实施教师党支部书记“双带头人”培育工程，实施“高校基层党建对标争先计划”，培育建设一批先进基层党组织，培养选树一批优秀共产党员、优秀党务工作者，创建网上党建园地，推选展示党的建设优秀工作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1985" w:type="dxa"/>
            <w:vMerge w:val="continue"/>
            <w:vAlign w:val="center"/>
          </w:tcPr>
          <w:p>
            <w:pPr>
              <w:spacing w:line="360" w:lineRule="exact"/>
              <w:ind w:firstLine="0" w:firstLineChars="0"/>
              <w:rPr>
                <w:rFonts w:ascii="Calibri" w:hAnsi="Calibri" w:eastAsia="宋体" w:cs="Times New Roman"/>
                <w:b/>
                <w:bCs/>
                <w:color w:val="000000"/>
                <w:sz w:val="28"/>
                <w:szCs w:val="28"/>
              </w:rPr>
            </w:pPr>
          </w:p>
        </w:tc>
        <w:tc>
          <w:tcPr>
            <w:tcW w:w="2835" w:type="dxa"/>
            <w:vAlign w:val="center"/>
          </w:tcPr>
          <w:p>
            <w:pPr>
              <w:spacing w:line="40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11.2群团组织建设</w:t>
            </w:r>
          </w:p>
        </w:tc>
        <w:tc>
          <w:tcPr>
            <w:tcW w:w="9516" w:type="dxa"/>
            <w:vAlign w:val="center"/>
          </w:tcPr>
          <w:p>
            <w:pPr>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落实中央党的群团工作会议精神，深化群团改革，把握群团工作的政治标准、根本要求、基本特征，在改革组织设置、管理模式、工作方式和干部管理等方面采取有效措施。发挥各类群团组织的育人纽带功能，推动工会、共青团、学生会等群团组织创新组织动员、引领教育的载体与形式，更好地代表师生、团结师生、服务师生。</w:t>
            </w:r>
          </w:p>
          <w:p>
            <w:pPr>
              <w:snapToGrid w:val="0"/>
              <w:spacing w:line="400" w:lineRule="exact"/>
              <w:ind w:firstLine="0" w:firstLineChars="0"/>
              <w:rPr>
                <w:rFonts w:ascii="仿宋_GB2312" w:hAnsi="Calibri" w:cs="Times New Roman"/>
                <w:sz w:val="24"/>
                <w:szCs w:val="24"/>
              </w:rPr>
            </w:pPr>
            <w:r>
              <w:rPr>
                <w:rFonts w:hint="eastAsia" w:ascii="仿宋_GB2312" w:hAnsi="宋体" w:cs="Times New Roman"/>
                <w:sz w:val="24"/>
                <w:szCs w:val="24"/>
              </w:rPr>
              <w:t>2.制定师生社团管理办法。支持各类师生社团开展主题鲜明、健康有益、丰富多彩的活动，充分发挥教研室、学术梯队、班级、宿舍在师生成长中的凝聚、引导、服务作用。培育建设一批文明社团、文明班级、文明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trPr>
        <w:tc>
          <w:tcPr>
            <w:tcW w:w="1985" w:type="dxa"/>
            <w:vMerge w:val="restart"/>
            <w:vAlign w:val="center"/>
          </w:tcPr>
          <w:p>
            <w:pPr>
              <w:adjustRightInd w:val="0"/>
              <w:snapToGrid w:val="0"/>
              <w:spacing w:before="100" w:beforeAutospacing="1" w:after="100" w:afterAutospacing="1" w:line="360" w:lineRule="auto"/>
              <w:ind w:firstLine="0" w:firstLineChars="0"/>
              <w:rPr>
                <w:rFonts w:ascii="Calibri" w:hAnsi="Calibri" w:eastAsia="宋体" w:cs="Times New Roman"/>
                <w:sz w:val="21"/>
                <w:szCs w:val="24"/>
              </w:rPr>
            </w:pPr>
            <w:r>
              <w:rPr>
                <w:rFonts w:hint="eastAsia" w:ascii="黑体" w:hAnsi="Calibri" w:eastAsia="黑体" w:cs="Times New Roman"/>
                <w:bCs/>
                <w:color w:val="000000"/>
                <w:sz w:val="24"/>
                <w:szCs w:val="24"/>
              </w:rPr>
              <w:t>12.条件保障</w:t>
            </w:r>
          </w:p>
        </w:tc>
        <w:tc>
          <w:tcPr>
            <w:tcW w:w="2835" w:type="dxa"/>
            <w:vAlign w:val="center"/>
          </w:tcPr>
          <w:p>
            <w:pPr>
              <w:spacing w:line="400" w:lineRule="exact"/>
              <w:ind w:firstLine="0" w:firstLineChars="0"/>
              <w:rPr>
                <w:rFonts w:ascii="仿宋_GB2312" w:hAnsi="Calibri" w:cs="Times New Roman"/>
                <w:b/>
                <w:sz w:val="24"/>
                <w:szCs w:val="24"/>
              </w:rPr>
            </w:pPr>
            <w:r>
              <w:rPr>
                <w:rFonts w:hint="eastAsia" w:ascii="仿宋_GB2312" w:hAnsi="Calibri" w:cs="Times New Roman"/>
                <w:color w:val="000000"/>
                <w:sz w:val="24"/>
                <w:szCs w:val="24"/>
              </w:rPr>
              <w:t>12.1政策保障</w:t>
            </w:r>
          </w:p>
        </w:tc>
        <w:tc>
          <w:tcPr>
            <w:tcW w:w="9516" w:type="dxa"/>
            <w:vAlign w:val="center"/>
          </w:tcPr>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1.制定学校落实《中共中央国务院关于加强和改进新形势下高校思想政治工作的意见》的实施办法，建立健全学校党委领导下的校长负责制的制度规范，明确工作任务和落实责任。</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2.结合学校实际，制定“学校思想政治工作质量提升工程实施细则”，建立健全协同育人工作机制及工作规范，确保中央、教育部、省委省政府的各项要求落实到位。</w:t>
            </w:r>
          </w:p>
          <w:p>
            <w:pPr>
              <w:adjustRightInd w:val="0"/>
              <w:snapToGrid w:val="0"/>
              <w:spacing w:line="400" w:lineRule="exact"/>
              <w:ind w:firstLine="0" w:firstLineChars="0"/>
              <w:rPr>
                <w:rFonts w:ascii="仿宋_GB2312" w:hAnsi="宋体" w:cs="Times New Roman"/>
                <w:sz w:val="24"/>
                <w:szCs w:val="24"/>
              </w:rPr>
            </w:pPr>
            <w:r>
              <w:rPr>
                <w:rFonts w:hint="eastAsia" w:ascii="仿宋_GB2312" w:hAnsi="宋体" w:cs="Times New Roman"/>
                <w:sz w:val="24"/>
                <w:szCs w:val="24"/>
              </w:rPr>
              <w:t>3．制定学校党建和思想政治工作队伍建设系列制度文件，把加强和改进高校思想政治工作纳入高校巡视整改、“双一流”建设、教学科研评估范围，作为各级党组织和党员干部工作考核的重要内容。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trPr>
        <w:tc>
          <w:tcPr>
            <w:tcW w:w="1985" w:type="dxa"/>
            <w:vMerge w:val="continue"/>
            <w:vAlign w:val="center"/>
          </w:tcPr>
          <w:p>
            <w:pPr>
              <w:spacing w:line="360" w:lineRule="exact"/>
              <w:ind w:firstLine="0" w:firstLineChars="0"/>
              <w:rPr>
                <w:rFonts w:ascii="Calibri" w:hAnsi="Calibri" w:eastAsia="宋体" w:cs="Times New Roman"/>
                <w:b/>
                <w:bCs/>
                <w:color w:val="000000"/>
                <w:sz w:val="28"/>
                <w:szCs w:val="28"/>
              </w:rPr>
            </w:pPr>
          </w:p>
        </w:tc>
        <w:tc>
          <w:tcPr>
            <w:tcW w:w="2835" w:type="dxa"/>
            <w:vAlign w:val="center"/>
          </w:tcPr>
          <w:p>
            <w:pPr>
              <w:spacing w:line="32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12.2队伍保障</w:t>
            </w:r>
          </w:p>
        </w:tc>
        <w:tc>
          <w:tcPr>
            <w:tcW w:w="9516" w:type="dxa"/>
            <w:vAlign w:val="center"/>
          </w:tcPr>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1.推动中央关于高校思想政治工作队伍和党务工作队伍建设的政策要求和量化指标落地。按照有关文件要求核定落实高校辅导员、思想政治理论课教师、党务工作干部编制，专业技术职务单列指标，单设标准，单独评审。完善高校专职辅导员职业发展体系，建立职级、职称“双线”晋升办法，学校应当结合实际情况为专职辅导员专设一定比例的正高级专业技术职务。参照校内管理岗位比例，依据国家有关规定，建立完善高校专职辅导员管理岗位（职员等级）晋升制度。落实《辽宁高校思政课教师和辅导员岗位津贴发放管理办法》。</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2.将大学生思想政治教育工作队伍表彰奖励纳入各级教师、教育工作者表彰奖励体系，按一定比例评选，统一表彰。</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3.组织开展党建和思想政治教育工作队伍境内外培训，有实施队伍轮训的规划。加强专门力量建设，大力培育领军人才。</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4.支持出版理论和实践研究专著，培育建设高校思想政治工作精品项目、高校思想政治理论课名师工作室、高校辅导员名师工作室、高校网络育人名师工作室、高校心理健康教育名师工作室。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985" w:type="dxa"/>
            <w:vMerge w:val="continue"/>
            <w:vAlign w:val="center"/>
          </w:tcPr>
          <w:p>
            <w:pPr>
              <w:spacing w:line="360" w:lineRule="exact"/>
              <w:ind w:firstLine="0" w:firstLineChars="0"/>
              <w:jc w:val="center"/>
              <w:rPr>
                <w:rFonts w:ascii="Calibri" w:hAnsi="Calibri" w:eastAsia="宋体" w:cs="Times New Roman"/>
                <w:b/>
                <w:bCs/>
                <w:color w:val="000000"/>
                <w:sz w:val="28"/>
                <w:szCs w:val="28"/>
              </w:rPr>
            </w:pPr>
          </w:p>
        </w:tc>
        <w:tc>
          <w:tcPr>
            <w:tcW w:w="2835" w:type="dxa"/>
            <w:vAlign w:val="center"/>
          </w:tcPr>
          <w:p>
            <w:pPr>
              <w:spacing w:line="320" w:lineRule="exact"/>
              <w:ind w:firstLine="0" w:firstLineChars="0"/>
              <w:rPr>
                <w:rFonts w:ascii="仿宋_GB2312" w:hAnsi="Calibri" w:cs="Times New Roman"/>
                <w:color w:val="000000"/>
                <w:sz w:val="24"/>
                <w:szCs w:val="24"/>
              </w:rPr>
            </w:pPr>
            <w:r>
              <w:rPr>
                <w:rFonts w:hint="eastAsia" w:ascii="仿宋_GB2312" w:hAnsi="Calibri" w:cs="Times New Roman"/>
                <w:color w:val="000000"/>
                <w:sz w:val="24"/>
                <w:szCs w:val="24"/>
              </w:rPr>
              <w:t>12.3经费保障</w:t>
            </w:r>
          </w:p>
        </w:tc>
        <w:tc>
          <w:tcPr>
            <w:tcW w:w="9516" w:type="dxa"/>
            <w:vAlign w:val="center"/>
          </w:tcPr>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1.设立党建和思想政治教育专项经费，其中思想政治工作和党务工作队伍建设专项经费总额不低于在校生总数每生每年20元标准，支持开展思想政治工作。设立专门预算科目，做到专款专用。</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2.设立党建与思想政治教育专项研究课题和课改课题，支持思想政治工作队伍结合工作开展研究。</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3.本科院校按在校生总数每生每年不低于40元，专科院校按每生每年不低于30元的标准提取专项经费，用于思政课教师的学术交流、实践研修等，并逐步加大支持力度。</w:t>
            </w:r>
          </w:p>
          <w:p>
            <w:pPr>
              <w:snapToGrid w:val="0"/>
              <w:spacing w:line="320" w:lineRule="exact"/>
              <w:ind w:firstLine="0" w:firstLineChars="0"/>
              <w:rPr>
                <w:rFonts w:ascii="仿宋_GB2312" w:hAnsi="宋体" w:cs="Times New Roman"/>
                <w:sz w:val="24"/>
                <w:szCs w:val="24"/>
              </w:rPr>
            </w:pPr>
            <w:r>
              <w:rPr>
                <w:rFonts w:hint="eastAsia" w:ascii="仿宋_GB2312" w:hAnsi="宋体" w:cs="Times New Roman"/>
                <w:sz w:val="24"/>
                <w:szCs w:val="24"/>
              </w:rPr>
              <w:t>4.按照在校生总数每生每年不低于30元标准设立网络思政工作专项经费。</w:t>
            </w:r>
          </w:p>
        </w:tc>
      </w:tr>
    </w:tbl>
    <w:p>
      <w:pPr>
        <w:snapToGrid w:val="0"/>
        <w:spacing w:before="156" w:beforeLines="50" w:line="240" w:lineRule="auto"/>
        <w:ind w:firstLine="0" w:firstLineChars="0"/>
        <w:jc w:val="center"/>
        <w:rPr>
          <w:rFonts w:ascii="Calibri" w:hAnsi="Calibri" w:eastAsia="宋体" w:cs="Times New Roman"/>
          <w:sz w:val="21"/>
          <w:szCs w:val="24"/>
        </w:rPr>
      </w:pPr>
      <w:r>
        <w:rPr>
          <w:rFonts w:ascii="Calibri" w:hAnsi="Calibri" w:eastAsia="宋体" w:cs="Times New Roman"/>
          <w:sz w:val="21"/>
          <w:szCs w:val="24"/>
        </w:rPr>
        <w:t xml:space="preserve"> </w:t>
      </w:r>
    </w:p>
    <w:p>
      <w:pPr>
        <w:spacing w:line="560" w:lineRule="exact"/>
        <w:ind w:right="-301" w:rightChars="-94" w:firstLine="0" w:firstLineChars="0"/>
        <w:rPr>
          <w:rFonts w:ascii="仿宋_GB2312" w:hAnsi="Calibri" w:cs="Times New Roman"/>
          <w:sz w:val="30"/>
          <w:szCs w:val="30"/>
        </w:rPr>
      </w:pPr>
    </w:p>
    <w:p>
      <w:pPr>
        <w:spacing w:line="560" w:lineRule="exact"/>
        <w:ind w:right="-301" w:rightChars="-94" w:firstLine="0" w:firstLineChars="0"/>
        <w:rPr>
          <w:rFonts w:ascii="黑体" w:hAnsi="黑体" w:eastAsia="黑体" w:cs="Times New Roman"/>
          <w:szCs w:val="32"/>
        </w:rPr>
      </w:pPr>
      <w:r>
        <w:rPr>
          <w:rFonts w:hint="eastAsia" w:ascii="黑体" w:hAnsi="黑体" w:eastAsia="黑体" w:cs="Times New Roman"/>
          <w:szCs w:val="32"/>
        </w:rPr>
        <w:t>附件2</w:t>
      </w:r>
    </w:p>
    <w:p>
      <w:pPr>
        <w:spacing w:line="240" w:lineRule="auto"/>
        <w:ind w:firstLine="0" w:firstLineChars="0"/>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辽宁省高校“三全育人”示范院（系）建设标准（试行）</w:t>
      </w:r>
    </w:p>
    <w:p>
      <w:pPr>
        <w:spacing w:line="240" w:lineRule="auto"/>
        <w:ind w:firstLine="0" w:firstLineChars="0"/>
        <w:rPr>
          <w:rFonts w:ascii="Calibri" w:hAnsi="Calibri" w:eastAsia="宋体" w:cs="Times New Roman"/>
          <w:sz w:val="21"/>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2700"/>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shd w:val="clear" w:color="auto" w:fill="auto"/>
            <w:vAlign w:val="center"/>
          </w:tcPr>
          <w:p>
            <w:pPr>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一级指标</w:t>
            </w:r>
          </w:p>
        </w:tc>
        <w:tc>
          <w:tcPr>
            <w:tcW w:w="2700" w:type="dxa"/>
            <w:shd w:val="clear" w:color="auto" w:fill="auto"/>
            <w:vAlign w:val="center"/>
          </w:tcPr>
          <w:p>
            <w:pPr>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二级指标</w:t>
            </w:r>
          </w:p>
        </w:tc>
        <w:tc>
          <w:tcPr>
            <w:tcW w:w="8703" w:type="dxa"/>
            <w:shd w:val="clear" w:color="auto" w:fill="auto"/>
            <w:vAlign w:val="center"/>
          </w:tcPr>
          <w:p>
            <w:pPr>
              <w:spacing w:line="240" w:lineRule="auto"/>
              <w:ind w:firstLine="0" w:firstLineChars="0"/>
              <w:jc w:val="center"/>
              <w:rPr>
                <w:rFonts w:ascii="黑体" w:hAnsi="黑体" w:eastAsia="黑体" w:cs="黑体"/>
                <w:sz w:val="28"/>
                <w:szCs w:val="28"/>
              </w:rPr>
            </w:pPr>
            <w:r>
              <w:rPr>
                <w:rFonts w:hint="eastAsia" w:ascii="黑体" w:hAnsi="黑体" w:eastAsia="黑体" w:cs="黑体"/>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1" w:type="dxa"/>
            <w:vMerge w:val="restart"/>
            <w:shd w:val="clear" w:color="auto" w:fill="auto"/>
            <w:vAlign w:val="center"/>
          </w:tcPr>
          <w:p>
            <w:pPr>
              <w:spacing w:line="240" w:lineRule="auto"/>
              <w:ind w:firstLine="0" w:firstLineChars="0"/>
              <w:rPr>
                <w:rFonts w:ascii="黑体" w:hAnsi="宋体" w:eastAsia="黑体" w:cs="宋体"/>
                <w:sz w:val="24"/>
                <w:szCs w:val="24"/>
              </w:rPr>
            </w:pPr>
            <w:r>
              <w:rPr>
                <w:rFonts w:hint="eastAsia" w:ascii="黑体" w:hAnsi="黑体" w:eastAsia="黑体" w:cs="黑体"/>
                <w:sz w:val="24"/>
                <w:szCs w:val="24"/>
              </w:rPr>
              <w:t>1.组织领导</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1.1健全“三全育人”统筹推进常态机制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1.“三全育人”纳入学院事业发展规划和人才培养方案。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tabs>
                <w:tab w:val="left" w:pos="775"/>
              </w:tabs>
              <w:spacing w:line="240" w:lineRule="auto"/>
              <w:ind w:firstLine="0" w:firstLineChars="0"/>
              <w:rPr>
                <w:rFonts w:ascii="仿宋_GB2312" w:hAnsi="宋体" w:cs="宋体"/>
                <w:sz w:val="24"/>
                <w:szCs w:val="24"/>
              </w:rPr>
            </w:pPr>
            <w:r>
              <w:rPr>
                <w:rFonts w:hint="eastAsia" w:ascii="仿宋_GB2312" w:hAnsi="宋体" w:cs="宋体"/>
                <w:sz w:val="24"/>
                <w:szCs w:val="24"/>
              </w:rPr>
              <w:t>2.推进“三全育人”思路明晰、举措具体、成效明显。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1.2健全完善党政联席会议制度</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1.院（系）党组织会议和党政联席会议制度规范，议事决策规则完善。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tabs>
                <w:tab w:val="left" w:pos="775"/>
              </w:tabs>
              <w:spacing w:line="240" w:lineRule="auto"/>
              <w:ind w:firstLine="0" w:firstLineChars="0"/>
              <w:rPr>
                <w:rFonts w:ascii="仿宋_GB2312" w:hAnsi="宋体" w:cs="宋体"/>
                <w:sz w:val="24"/>
                <w:szCs w:val="24"/>
              </w:rPr>
            </w:pPr>
            <w:r>
              <w:rPr>
                <w:rFonts w:hint="eastAsia" w:ascii="仿宋_GB2312" w:hAnsi="宋体" w:cs="宋体"/>
                <w:sz w:val="24"/>
                <w:szCs w:val="24"/>
              </w:rPr>
              <w:t>2.涉及办学方向、教师队伍建设、师生员工切身利益等重大事项，由党组织先研究再提交党政联席会议决定。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1.3坚持党建带团建</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1.党建带团建工作模式良好、成效显著。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2.课程育人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2.1建立教案评价制度</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1.及时修订教案，把课程育人理念贯穿教案修订全过程。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jc w:val="center"/>
              <w:rPr>
                <w:rFonts w:ascii="黑体" w:hAnsi="黑体" w:eastAsia="黑体" w:cs="黑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2.对教师教案严格把关，对未包含课程育人内容的“一票否决”。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2.2建立专业教师课程育人主体作用发挥有效机制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1.把思想政治教育元素纳入课堂教学，作为课堂讲授的重要内容。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2.把课程育人作为教学督导和教师绩效考核的重要方面。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3.科研育人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3.1建立科研育人导向机制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1.把正确的政治方向、价值取向、学术导向体现到科学研究全过程各环节。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2.建立科教协同育人机制，在培养师生至诚报国的理想追求、敢为人先的科学精神、开拓创新的进取意识和严谨求实的科研作风上成效明显。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3.2健全科研团队评价制度</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1.把思想政治表现作为组建科研团队的底线要求，把育人成效作为科研团队表彰的重要参考。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3.3构建学术诚信体系</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1.项目负责人或科研团队负责人注重对师生开展诚信教育。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2.每年至少1次开设学术规范与学术道德专题讲座。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4.实践育人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4.1建立社会实践长效机制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1.建立相对稳定的实践育人基地。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2.拥有1-2个社会实践精品项目。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3.建立大学生志愿服务认证和表彰制度。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4.2推进实践教学改革</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w:t>
            </w:r>
            <w:r>
              <w:rPr>
                <w:rFonts w:hint="eastAsia" w:ascii="仿宋_GB2312" w:hAnsi="宋体" w:cs="Times New Roman"/>
                <w:sz w:val="24"/>
                <w:szCs w:val="24"/>
              </w:rPr>
              <w:t>将实践育人工作纳入学校教学计划，落实规定的学时学分</w:t>
            </w:r>
            <w:r>
              <w:rPr>
                <w:rFonts w:hint="eastAsia" w:ascii="仿宋_GB2312"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4.3推进创新创业教育</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1.创新创业教育成效明显，拥有至少1个大学生创新创业项目。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5.文化育人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5.1建立中华优秀传统文化传承和革命文化教育长效机制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1.把中华优秀传统文化教育纳入思想政治教育工作计划。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napToGrid w:val="0"/>
              <w:spacing w:line="400" w:lineRule="exact"/>
              <w:ind w:firstLine="0" w:firstLineChars="0"/>
              <w:rPr>
                <w:rFonts w:ascii="仿宋_GB2312" w:hAnsi="宋体" w:cs="宋体"/>
                <w:sz w:val="24"/>
                <w:szCs w:val="24"/>
              </w:rPr>
            </w:pPr>
            <w:r>
              <w:rPr>
                <w:rFonts w:hint="eastAsia" w:ascii="仿宋_GB2312" w:hAnsi="宋体" w:cs="宋体"/>
                <w:sz w:val="24"/>
                <w:szCs w:val="24"/>
              </w:rPr>
              <w:t>2.</w:t>
            </w:r>
            <w:r>
              <w:rPr>
                <w:rFonts w:hint="eastAsia" w:ascii="仿宋_GB2312" w:hAnsi="宋体" w:cs="Times New Roman"/>
                <w:sz w:val="24"/>
                <w:szCs w:val="24"/>
              </w:rPr>
              <w:t>结合</w:t>
            </w:r>
            <w:r>
              <w:rPr>
                <w:rFonts w:hint="eastAsia" w:ascii="仿宋_GB2312" w:hAnsi="宋体" w:cs="Times New Roman"/>
                <w:bCs/>
                <w:sz w:val="24"/>
                <w:szCs w:val="24"/>
              </w:rPr>
              <w:t>传统节庆日、重大事件和开学典礼、毕业典礼等</w:t>
            </w:r>
            <w:r>
              <w:rPr>
                <w:rFonts w:hint="eastAsia" w:ascii="仿宋_GB2312" w:hAnsi="宋体" w:cs="Times New Roman"/>
                <w:sz w:val="24"/>
                <w:szCs w:val="24"/>
              </w:rPr>
              <w:t>开展主题教育活动</w:t>
            </w:r>
            <w:r>
              <w:rPr>
                <w:rFonts w:hint="eastAsia" w:ascii="仿宋_GB2312"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5.2建立社会主义先进文化教育长效机制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1.定期开展师生社会主义核心价值观主题教育活动。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2.拥有社会主义核心价值观教育典型案例，选树宣传一批践行社会主义核心价值观先进典型。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5.3建立校园文化育人功能发挥长效机制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1.充分挖掘院（系）和学科专业文化育人要素。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2.院（系）文化建设成效显著，拥有至少1个校园文化品牌。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6.网络育人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6.1建立网络素养教育长效机制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1.引导师生增强网络安全意识，遵守网络行为规范。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2.拓展网络教育平台，结合专业特点开发网络教育相关软件。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3.开展网络文化建设活动。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6.2健全网络文化成果评价认定制度</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1.将优秀网络文化成果纳入院系科研成果统计、列为教师职务职称评聘条件、作为师生评奖评优依据。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6.3探索网络育人工作量认定办法</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1.有专人牵头负责网络力量培养，把网络育人工作计入工作量。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宋体" w:eastAsia="楷体_GB2312" w:cs="宋体"/>
                <w:sz w:val="24"/>
                <w:szCs w:val="24"/>
              </w:rPr>
            </w:pPr>
            <w:r>
              <w:rPr>
                <w:rFonts w:hint="eastAsia" w:ascii="黑体" w:hAnsi="黑体" w:eastAsia="黑体" w:cs="黑体"/>
                <w:sz w:val="24"/>
                <w:szCs w:val="24"/>
              </w:rPr>
              <w:t>7.心理育人</w:t>
            </w: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7.1建立心理健康教育长效机制</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1.把心理健康教育纳入人才培养方案，对不同学科专业大学生的心理健康教育针对性强。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vAlign w:val="center"/>
          </w:tcPr>
          <w:p>
            <w:pPr>
              <w:spacing w:line="240" w:lineRule="auto"/>
              <w:ind w:firstLine="0" w:firstLineChars="0"/>
              <w:rPr>
                <w:rFonts w:ascii="仿宋_GB2312" w:hAnsi="宋体" w:cs="宋体"/>
                <w:sz w:val="24"/>
                <w:szCs w:val="24"/>
              </w:rPr>
            </w:pP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2.定期开展心理健康教育主题活动。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7.2健全预警防控体系</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1.建立院系、班级、宿舍“三级”预警防控体系，有心理危机干预预案。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黑体" w:eastAsia="楷体_GB2312" w:cs="黑体"/>
                <w:sz w:val="24"/>
                <w:szCs w:val="24"/>
              </w:rPr>
            </w:pPr>
            <w:r>
              <w:rPr>
                <w:rFonts w:hint="eastAsia" w:ascii="黑体" w:hAnsi="黑体" w:eastAsia="黑体" w:cs="黑体"/>
                <w:sz w:val="24"/>
                <w:szCs w:val="24"/>
              </w:rPr>
              <w:t>8.管理育人</w:t>
            </w:r>
          </w:p>
        </w:tc>
        <w:tc>
          <w:tcPr>
            <w:tcW w:w="2700"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8.1明确岗位育人职责</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1.有体现育人元素的岗位说明书。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restart"/>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8.2加强教师队伍管理</w:t>
            </w:r>
          </w:p>
        </w:tc>
        <w:tc>
          <w:tcPr>
            <w:tcW w:w="8703" w:type="dxa"/>
            <w:shd w:val="clear" w:color="auto" w:fill="auto"/>
            <w:vAlign w:val="center"/>
          </w:tcPr>
          <w:p>
            <w:pPr>
              <w:spacing w:line="240" w:lineRule="auto"/>
              <w:ind w:firstLine="0" w:firstLineChars="0"/>
              <w:rPr>
                <w:rFonts w:ascii="仿宋_GB2312" w:hAnsi="宋体" w:cs="宋体"/>
                <w:sz w:val="24"/>
                <w:szCs w:val="24"/>
              </w:rPr>
            </w:pPr>
            <w:r>
              <w:rPr>
                <w:rFonts w:hint="eastAsia" w:ascii="仿宋_GB2312" w:hAnsi="宋体" w:cs="宋体"/>
                <w:sz w:val="24"/>
                <w:szCs w:val="24"/>
              </w:rPr>
              <w:t>1.把思想政治素质考核作为选聘教师的重要依据。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tcPr>
          <w:p>
            <w:pPr>
              <w:spacing w:line="240" w:lineRule="auto"/>
              <w:ind w:firstLine="0" w:firstLineChars="0"/>
              <w:rPr>
                <w:rFonts w:ascii="仿宋_GB2312" w:hAnsi="宋体" w:cs="宋体"/>
                <w:sz w:val="24"/>
                <w:szCs w:val="24"/>
              </w:rPr>
            </w:pP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2.对违反师德和学术不端行为严格查处。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8.3建立考核评价激励机制</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1.把育人功能发挥纳入管理岗位考核评价范围，作为评奖评优条件。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shd w:val="clear" w:color="auto" w:fill="auto"/>
            <w:vAlign w:val="center"/>
          </w:tcPr>
          <w:p>
            <w:pPr>
              <w:spacing w:line="240" w:lineRule="auto"/>
              <w:ind w:firstLine="0" w:firstLineChars="0"/>
              <w:rPr>
                <w:rFonts w:ascii="楷体_GB2312" w:hAnsi="黑体" w:eastAsia="楷体_GB2312" w:cs="黑体"/>
                <w:sz w:val="24"/>
                <w:szCs w:val="24"/>
              </w:rPr>
            </w:pPr>
            <w:r>
              <w:rPr>
                <w:rFonts w:hint="eastAsia" w:ascii="黑体" w:hAnsi="黑体" w:eastAsia="黑体" w:cs="黑体"/>
                <w:sz w:val="24"/>
                <w:szCs w:val="24"/>
              </w:rPr>
              <w:t>9.服务育人</w:t>
            </w: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9.1建立服务协同机制</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1.建立与后勤、图书、医疗、保卫等多部门联动机制，配合服务部门落实育人要求。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黑体" w:eastAsia="楷体_GB2312" w:cs="黑体"/>
                <w:sz w:val="24"/>
                <w:szCs w:val="24"/>
              </w:rPr>
            </w:pPr>
            <w:r>
              <w:rPr>
                <w:rFonts w:hint="eastAsia" w:ascii="黑体" w:hAnsi="黑体" w:eastAsia="黑体" w:cs="黑体"/>
                <w:sz w:val="24"/>
                <w:szCs w:val="24"/>
              </w:rPr>
              <w:t>10.资助育人</w:t>
            </w:r>
          </w:p>
        </w:tc>
        <w:tc>
          <w:tcPr>
            <w:tcW w:w="2700" w:type="dxa"/>
            <w:vMerge w:val="restart"/>
            <w:shd w:val="clear" w:color="auto" w:fill="auto"/>
          </w:tcPr>
          <w:p>
            <w:pPr>
              <w:spacing w:line="240" w:lineRule="auto"/>
              <w:ind w:firstLine="0" w:firstLineChars="0"/>
              <w:rPr>
                <w:rFonts w:ascii="仿宋_GB2312" w:hAnsi="宋体" w:cs="宋体"/>
                <w:sz w:val="24"/>
                <w:szCs w:val="24"/>
              </w:rPr>
            </w:pPr>
          </w:p>
          <w:p>
            <w:pPr>
              <w:spacing w:line="240" w:lineRule="auto"/>
              <w:ind w:firstLine="0" w:firstLineChars="0"/>
              <w:rPr>
                <w:rFonts w:ascii="仿宋_GB2312" w:hAnsi="宋体" w:cs="宋体"/>
                <w:sz w:val="24"/>
                <w:szCs w:val="24"/>
              </w:rPr>
            </w:pPr>
            <w:r>
              <w:rPr>
                <w:rFonts w:hint="eastAsia" w:ascii="仿宋_GB2312" w:hAnsi="宋体" w:cs="宋体"/>
                <w:sz w:val="24"/>
                <w:szCs w:val="24"/>
              </w:rPr>
              <w:t>10.1构建资助育人长效机制</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1.建立物质帮助、道德浸润、能力拓展、精神激励有效融合的资助育人长效机制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vMerge w:val="continue"/>
            <w:shd w:val="clear" w:color="auto" w:fill="auto"/>
          </w:tcPr>
          <w:p>
            <w:pPr>
              <w:spacing w:line="240" w:lineRule="auto"/>
              <w:ind w:firstLine="0" w:firstLineChars="0"/>
              <w:rPr>
                <w:rFonts w:ascii="仿宋_GB2312" w:hAnsi="宋体" w:cs="宋体"/>
                <w:sz w:val="24"/>
                <w:szCs w:val="24"/>
              </w:rPr>
            </w:pP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2.有资助育人优秀案例和先进人物。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楷体_GB2312" w:hAnsi="宋体" w:eastAsia="楷体_GB2312" w:cs="宋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10.2资助精准到位</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1.资助对象、资助标准、资金分配、资金发放精准到位。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黑体" w:eastAsia="楷体_GB2312" w:cs="黑体"/>
                <w:sz w:val="24"/>
                <w:szCs w:val="24"/>
              </w:rPr>
            </w:pPr>
            <w:r>
              <w:rPr>
                <w:rFonts w:hint="eastAsia" w:ascii="黑体" w:hAnsi="黑体" w:eastAsia="黑体" w:cs="黑体"/>
                <w:sz w:val="24"/>
                <w:szCs w:val="24"/>
              </w:rPr>
              <w:t>11.组织育人</w:t>
            </w: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11.1坚持评议考核制度</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1.建立党支部书记抓基层党建述职评议考核制度，把“三全育人”作为考核内容。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jc w:val="center"/>
              <w:rPr>
                <w:rFonts w:ascii="楷体_GB2312" w:hAnsi="黑体" w:eastAsia="楷体_GB2312" w:cs="黑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11.2选优配强党支部书记</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1.深入实施教师党支部书记“双带头人”培育工程。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vAlign w:val="center"/>
          </w:tcPr>
          <w:p>
            <w:pPr>
              <w:spacing w:line="240" w:lineRule="auto"/>
              <w:ind w:firstLine="0" w:firstLineChars="0"/>
              <w:jc w:val="center"/>
              <w:rPr>
                <w:rFonts w:ascii="楷体_GB2312" w:hAnsi="黑体" w:eastAsia="楷体_GB2312" w:cs="黑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11.3形成育人组织合力</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1.工会、共青团、学生会等群团组织组织动员、引领教育学生有载体、成效好。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restart"/>
            <w:shd w:val="clear" w:color="auto" w:fill="auto"/>
            <w:vAlign w:val="center"/>
          </w:tcPr>
          <w:p>
            <w:pPr>
              <w:spacing w:line="240" w:lineRule="auto"/>
              <w:ind w:firstLine="0" w:firstLineChars="0"/>
              <w:rPr>
                <w:rFonts w:ascii="楷体_GB2312" w:hAnsi="黑体" w:eastAsia="楷体_GB2312" w:cs="黑体"/>
                <w:sz w:val="24"/>
                <w:szCs w:val="24"/>
              </w:rPr>
            </w:pPr>
            <w:r>
              <w:rPr>
                <w:rFonts w:hint="eastAsia" w:ascii="黑体" w:hAnsi="黑体" w:eastAsia="黑体" w:cs="黑体"/>
                <w:sz w:val="24"/>
                <w:szCs w:val="24"/>
              </w:rPr>
              <w:t>12.条件保障</w:t>
            </w: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12.1政策保障到位</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1.全面落实“高校思想政治工作质量提升工程”明确的政策要求和刚性指标。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宋体" w:hAnsi="宋体" w:eastAsia="宋体" w:cs="宋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12.2人员保障到位</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1.辅导员达到师生比1:200要求，至少配备1名专职辅导员，有专职副书记。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71" w:type="dxa"/>
            <w:vMerge w:val="continue"/>
            <w:shd w:val="clear" w:color="auto" w:fill="auto"/>
          </w:tcPr>
          <w:p>
            <w:pPr>
              <w:spacing w:line="240" w:lineRule="auto"/>
              <w:ind w:firstLine="0" w:firstLineChars="0"/>
              <w:rPr>
                <w:rFonts w:ascii="宋体" w:hAnsi="宋体" w:eastAsia="宋体" w:cs="宋体"/>
                <w:sz w:val="24"/>
                <w:szCs w:val="24"/>
              </w:rPr>
            </w:pPr>
          </w:p>
        </w:tc>
        <w:tc>
          <w:tcPr>
            <w:tcW w:w="2700"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12.3 经费保障到位</w:t>
            </w:r>
          </w:p>
        </w:tc>
        <w:tc>
          <w:tcPr>
            <w:tcW w:w="8703" w:type="dxa"/>
            <w:shd w:val="clear" w:color="auto" w:fill="auto"/>
          </w:tcPr>
          <w:p>
            <w:pPr>
              <w:spacing w:line="240" w:lineRule="auto"/>
              <w:ind w:firstLine="0" w:firstLineChars="0"/>
              <w:rPr>
                <w:rFonts w:ascii="仿宋_GB2312" w:hAnsi="宋体" w:cs="宋体"/>
                <w:sz w:val="24"/>
                <w:szCs w:val="24"/>
              </w:rPr>
            </w:pPr>
            <w:r>
              <w:rPr>
                <w:rFonts w:hint="eastAsia" w:ascii="仿宋_GB2312" w:hAnsi="宋体" w:cs="宋体"/>
                <w:sz w:val="24"/>
                <w:szCs w:val="24"/>
              </w:rPr>
              <w:t>1.按照师生规模设立党建与思想政治工作专项经费，纳入院系经费预算。</w:t>
            </w:r>
          </w:p>
        </w:tc>
      </w:tr>
    </w:tbl>
    <w:p>
      <w:pPr>
        <w:spacing w:line="240" w:lineRule="auto"/>
        <w:ind w:firstLine="0" w:firstLineChars="0"/>
        <w:rPr>
          <w:rFonts w:ascii="Calibri" w:hAnsi="Calibri" w:eastAsia="宋体" w:cs="Times New Roman"/>
          <w:sz w:val="21"/>
          <w:szCs w:val="24"/>
        </w:rPr>
      </w:pPr>
    </w:p>
    <w:p>
      <w:pPr>
        <w:spacing w:line="560" w:lineRule="exact"/>
        <w:ind w:right="-301" w:rightChars="-94" w:firstLine="0" w:firstLineChars="0"/>
        <w:rPr>
          <w:rFonts w:ascii="Times New Roman" w:hAnsi="Times New Roman" w:cs="Times New Roman"/>
          <w:szCs w:val="32"/>
        </w:rPr>
      </w:pPr>
    </w:p>
    <w:p>
      <w:pPr>
        <w:widowControl/>
        <w:shd w:val="clear" w:color="auto" w:fill="FFFFFF"/>
        <w:adjustRightInd w:val="0"/>
        <w:snapToGrid w:val="0"/>
        <w:spacing w:line="360" w:lineRule="auto"/>
        <w:ind w:firstLine="0" w:firstLineChars="0"/>
        <w:rPr>
          <w:rFonts w:ascii="仿宋_GB2312" w:hAnsi="仿宋" w:cs="仿宋"/>
          <w:color w:val="000000"/>
          <w:kern w:val="0"/>
          <w:sz w:val="30"/>
          <w:szCs w:val="30"/>
        </w:rPr>
        <w:sectPr>
          <w:footerReference r:id="rId5" w:type="default"/>
          <w:pgSz w:w="16838" w:h="11906" w:orient="landscape"/>
          <w:pgMar w:top="1800" w:right="1440" w:bottom="1800" w:left="1440" w:header="851" w:footer="992" w:gutter="0"/>
          <w:pgNumType w:fmt="numberInDash"/>
          <w:cols w:space="425" w:num="1"/>
          <w:docGrid w:type="lines" w:linePitch="312" w:charSpace="0"/>
        </w:sectPr>
      </w:pPr>
    </w:p>
    <w:p>
      <w:pPr>
        <w:spacing w:line="560" w:lineRule="exact"/>
        <w:ind w:right="-301" w:rightChars="-94" w:firstLine="0" w:firstLineChars="0"/>
        <w:rPr>
          <w:rFonts w:ascii="黑体" w:hAnsi="黑体" w:eastAsia="黑体" w:cs="Times New Roman"/>
          <w:szCs w:val="32"/>
        </w:rPr>
      </w:pPr>
      <w:r>
        <w:rPr>
          <w:rFonts w:hint="eastAsia" w:ascii="黑体" w:hAnsi="黑体" w:eastAsia="黑体" w:cs="Times New Roman"/>
          <w:szCs w:val="32"/>
        </w:rPr>
        <w:t>附件3</w:t>
      </w:r>
    </w:p>
    <w:p>
      <w:pPr>
        <w:adjustRightInd w:val="0"/>
        <w:snapToGrid w:val="0"/>
        <w:spacing w:line="560" w:lineRule="exact"/>
        <w:ind w:firstLine="0" w:firstLineChars="0"/>
        <w:jc w:val="center"/>
        <w:rPr>
          <w:rFonts w:ascii="华文中宋" w:hAnsi="华文中宋" w:eastAsia="华文中宋" w:cs="Times New Roman"/>
          <w:b/>
          <w:sz w:val="36"/>
          <w:szCs w:val="36"/>
        </w:rPr>
      </w:pPr>
    </w:p>
    <w:p>
      <w:pPr>
        <w:adjustRightInd w:val="0"/>
        <w:snapToGrid w:val="0"/>
        <w:spacing w:line="560" w:lineRule="exact"/>
        <w:ind w:firstLine="0" w:firstLineChars="0"/>
        <w:jc w:val="center"/>
        <w:rPr>
          <w:rFonts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辽宁省高校“三全育人”开放基地建设指南</w:t>
      </w:r>
    </w:p>
    <w:p>
      <w:pPr>
        <w:adjustRightInd w:val="0"/>
        <w:snapToGrid w:val="0"/>
        <w:spacing w:line="560" w:lineRule="exact"/>
        <w:ind w:firstLine="0" w:firstLineChars="0"/>
        <w:rPr>
          <w:rFonts w:ascii="仿宋_GB2312" w:hAnsi="Calibri" w:cs="Times New Roman"/>
          <w:szCs w:val="32"/>
        </w:rPr>
      </w:pP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为深入贯彻落实习近平总书记关于教育的重要论述，贯彻落实全国教育大会、学校思想政治理论课座谈会、辽宁教育大会精神，深入推进立德树人，培育担当民族复兴大任的时代新人，巩固我省高校思想政治工作特色优势、补齐短板不足，现面向全省高校遴选建设一批省级“三全育人”开放基地。相关建设内容和要求如下，供高校申报参考。</w:t>
      </w:r>
    </w:p>
    <w:p>
      <w:pPr>
        <w:adjustRightInd w:val="0"/>
        <w:snapToGrid w:val="0"/>
        <w:spacing w:line="560" w:lineRule="exact"/>
        <w:ind w:firstLine="640"/>
        <w:rPr>
          <w:rFonts w:ascii="楷体_GB2312" w:hAnsi="黑体" w:eastAsia="楷体_GB2312" w:cs="Times New Roman"/>
          <w:szCs w:val="32"/>
        </w:rPr>
      </w:pPr>
      <w:r>
        <w:rPr>
          <w:rFonts w:hint="eastAsia" w:ascii="楷体_GB2312" w:hAnsi="黑体" w:eastAsia="楷体_GB2312" w:cs="Times New Roman"/>
          <w:szCs w:val="32"/>
        </w:rPr>
        <w:t>1.思想政治理论课教学资源建设基地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针对高校和中小学思想政治理论课教学，分学科建立课程教学素材资源库，包括每门课教材知识点、政策文件、国内外文献、案例、图片、音视频、数据、故事资源等；制作每门课标准课件和组合式课件；整理汇总国内大中小学思想政治理论课教学优秀思路、教法、课件等，使之成为全省大中小学思想政治理论课教学的“中央厨房”，为教育教学提供支撑。围绕大中小学社会主义核心价值观教育主题，制作主题鲜明、画面生动、便于传播的微视频和公益广告，推动全省学校社会主义核心价值观教育更好开展。</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2.高校“课程思政”研究培训基地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围绕调动所有课程、所有教师都积极承担起教书育人使命，推进高校“课程思政”改革，制定相关文件、标准、流程，推进高校“课程思政”规范化开展；开展教师育德意识和育德能力培养，开展专业课教师“课程思政”教法技能培训；推进高校“课程思政”精品课程建设，汇编高校“课程思政”教育教学成果，展示辽宁课程思想政治教育改革创新成效等。</w:t>
      </w:r>
    </w:p>
    <w:p>
      <w:pPr>
        <w:adjustRightInd w:val="0"/>
        <w:snapToGrid w:val="0"/>
        <w:spacing w:line="560" w:lineRule="exact"/>
        <w:ind w:firstLine="640"/>
        <w:rPr>
          <w:rFonts w:ascii="楷体_GB2312" w:hAnsi="Calibri" w:eastAsia="楷体_GB2312" w:cs="Times New Roman"/>
          <w:szCs w:val="32"/>
        </w:rPr>
      </w:pPr>
      <w:r>
        <w:rPr>
          <w:rFonts w:hint="eastAsia" w:ascii="楷体_GB2312" w:hAnsi="华文中宋" w:eastAsia="楷体_GB2312" w:cs="Times New Roman"/>
          <w:szCs w:val="32"/>
        </w:rPr>
        <w:t>3.大中小学思政课一体化建设研究基地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推动高校与市教育局、中小学联动共建，研究如何推进大中小思政课一体化建设，形成辽宁模式和辽宁经验。探索推进教学内容、教案教材、教学方法、教学载体等的创新，开展教师培训，定期举行大中小学思政课一体化备课等。</w:t>
      </w:r>
    </w:p>
    <w:p>
      <w:pPr>
        <w:adjustRightInd w:val="0"/>
        <w:snapToGrid w:val="0"/>
        <w:spacing w:line="560" w:lineRule="exact"/>
        <w:ind w:firstLine="640"/>
        <w:rPr>
          <w:rFonts w:ascii="楷体_GB2312" w:hAnsi="Calibri" w:eastAsia="楷体_GB2312" w:cs="Times New Roman"/>
          <w:szCs w:val="32"/>
        </w:rPr>
      </w:pPr>
      <w:r>
        <w:rPr>
          <w:rFonts w:hint="eastAsia" w:ascii="楷体_GB2312" w:hAnsi="华文中宋" w:eastAsia="楷体_GB2312" w:cs="Times New Roman"/>
          <w:szCs w:val="32"/>
        </w:rPr>
        <w:t>4.大中小学体育美育一体化研究基地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聚焦教会、勤练、常展，研究构建各学段有机衔接、课内课外深度融合的体育美育一体化体系，探索推进教学内容、教案教材、教学方法、教学载体等的创新，深化“健康知识+基本运动技能+专项运动技能”和“艺术基础知识基本技能+艺术审美体验+艺术专项特长”体育美育教学模式改革。</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5.文化育人研究与宣传展示基地</w:t>
      </w:r>
    </w:p>
    <w:p>
      <w:pPr>
        <w:adjustRightInd w:val="0"/>
        <w:snapToGrid w:val="0"/>
        <w:spacing w:line="560" w:lineRule="exact"/>
        <w:ind w:firstLine="640"/>
        <w:rPr>
          <w:rFonts w:ascii="仿宋_GB2312" w:hAnsi="楷体" w:cs="Times New Roman"/>
          <w:szCs w:val="32"/>
        </w:rPr>
      </w:pPr>
      <w:r>
        <w:rPr>
          <w:rFonts w:hint="eastAsia" w:ascii="仿宋_GB2312" w:hAnsi="Calibri" w:cs="Times New Roman"/>
          <w:szCs w:val="32"/>
        </w:rPr>
        <w:t>围绕高校文化育人，推进高校服务辽宁文化品牌战略，聚焦雷锋精神、劳模精神、工匠精神、红医精神等开展研究；依托我省高校博物馆、爱国主义教育基地等，推进举办全省高校文化育人活动等；依托高校红色育人基地、校史校情教育载体、大学精神标识系统、精品文化活动、文创产品等进行文化育人；梳理汇总我省高校文化育人工作成效，通过多种方式进行展示。</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6.网络育人研究培训基地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聚焦新形势下网络育人，推进高校“易班”分中心建设；研究开发新的网络育人载体；研究高校师生网络思想动态；举办网络育人研讨活动，承担全省高校网络辅导员、网络评论员、网络文化工作室等建设的指导培训任务等。</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7.实践与劳动教育研究基地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围绕高校实践育人，结合新时代大中小学劳动教育，研究劳动教育的目标、内容、标准、机制、载体、工作队伍建设等问题；推动建立完善大中小学校外实践育人基地和劳动教育基地；举办全省性实践与劳动教育主题活动；梳理汇总我省高校实践育人和劳动教育成效，进行有效展示。</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8.管理、服务、资助、组织育人研究培训基地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围绕高校管理、服务、资助、组织育人，研究育人内容、育人方式、育人途径、育人载体，推进高校相关育人政策、机制和活动创新。推动高校创建管理育人、服务育人、资助育人、组织育人品牌项目；推进高校加强行政管理队伍、后勤管理队伍培训，开展“管理育人”“服务育人”示范岗评选，提升高校管理、服务、资助、组织育人成效等。</w:t>
      </w:r>
    </w:p>
    <w:p>
      <w:pPr>
        <w:tabs>
          <w:tab w:val="left" w:pos="1770"/>
        </w:tabs>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9.教师思想政治工作研究培训基地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围绕新时代教师教育和师德师风建设要求，探索推进教师思想政治工作新思路、新方法、新做法，举办全省性教师教育活动，开始教师思想动态调研，参与制定相关政策文件，协助开展教师评优评先工作，举办相关培训活动等。</w:t>
      </w:r>
    </w:p>
    <w:p>
      <w:pPr>
        <w:adjustRightInd w:val="0"/>
        <w:snapToGrid w:val="0"/>
        <w:spacing w:line="560" w:lineRule="exact"/>
        <w:ind w:firstLine="640"/>
        <w:rPr>
          <w:rFonts w:ascii="楷体_GB2312" w:hAnsi="华文中宋" w:eastAsia="楷体_GB2312" w:cs="Times New Roman"/>
          <w:szCs w:val="32"/>
        </w:rPr>
      </w:pPr>
      <w:r>
        <w:rPr>
          <w:rFonts w:hint="eastAsia" w:ascii="楷体_GB2312" w:hAnsi="华文中宋" w:eastAsia="楷体_GB2312" w:cs="Times New Roman"/>
          <w:szCs w:val="32"/>
        </w:rPr>
        <w:t>10.“三全育人”综合研究培训基地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聚焦构建“三全十育人”体系，推进大中小思想政治教育一体化、校内外育人一体化建设。围绕大中小思想政治教育纵向联动，研究从育人目标、育人内容、育人课程、育人平台、师资培养、资源共享等方面推进各学段思想政治教育工作纵向贯通；实施“开门办思政”，依托校际协同、市校协同、校社协同、家校协同，推进高校更好整合校内外资源育人，开发校外育人基地APP，形成校外育人版图，建设校外育人精品课程，举办校外育人基地教师培训交流，进行校外育人优秀项目评选；在省委教育工委、教育厅相关处室指导下，梳理我省高校“三全育人”综合改革成果，通过出版系列书籍、制作宣传音视频等，进行有效宣传和展示。</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除参考上述选题外，各高校还可以根据实际情况，申报建设其他与高校思想政治教育相关的开放基地。</w:t>
      </w:r>
    </w:p>
    <w:p>
      <w:pPr>
        <w:adjustRightInd w:val="0"/>
        <w:snapToGrid w:val="0"/>
        <w:spacing w:line="560" w:lineRule="exact"/>
        <w:ind w:firstLine="640"/>
        <w:rPr>
          <w:rFonts w:ascii="仿宋_GB2312" w:hAnsi="Calibri" w:cs="Times New Roman"/>
          <w:szCs w:val="32"/>
        </w:rPr>
      </w:pPr>
      <w:r>
        <w:rPr>
          <w:rFonts w:hint="eastAsia" w:ascii="仿宋_GB2312" w:hAnsi="Calibri" w:cs="Times New Roman"/>
          <w:szCs w:val="32"/>
        </w:rPr>
        <w:t>省级“三全育人”开放基地申报，需说明基地建设的基本思路、主要育人计划、基地建设计划、初步预算等，说明如何对其他学校开放共享、服务支撑全省高校思想政治工作。</w:t>
      </w:r>
    </w:p>
    <w:p>
      <w:pPr>
        <w:widowControl/>
        <w:spacing w:line="240" w:lineRule="auto"/>
        <w:ind w:firstLine="0" w:firstLineChars="0"/>
        <w:jc w:val="left"/>
        <w:rPr>
          <w:rFonts w:ascii="仿宋_GB2312" w:hAnsi="黑体" w:cs="黑体"/>
          <w:color w:val="000000"/>
          <w:kern w:val="0"/>
          <w:szCs w:val="32"/>
        </w:rPr>
      </w:pPr>
    </w:p>
    <w:p>
      <w:pPr>
        <w:widowControl/>
        <w:spacing w:line="240" w:lineRule="auto"/>
        <w:ind w:firstLine="0" w:firstLineChars="0"/>
        <w:jc w:val="left"/>
        <w:rPr>
          <w:rFonts w:ascii="仿宋_GB2312" w:hAnsi="黑体" w:cs="黑体"/>
          <w:color w:val="000000"/>
          <w:kern w:val="0"/>
          <w:szCs w:val="32"/>
        </w:rPr>
      </w:pPr>
    </w:p>
    <w:p>
      <w:pPr>
        <w:widowControl/>
        <w:spacing w:line="240" w:lineRule="auto"/>
        <w:ind w:firstLine="0" w:firstLineChars="0"/>
        <w:jc w:val="left"/>
        <w:rPr>
          <w:rFonts w:ascii="黑体" w:hAnsi="黑体" w:eastAsia="黑体" w:cs="黑体"/>
          <w:color w:val="000000"/>
          <w:kern w:val="0"/>
          <w:sz w:val="30"/>
          <w:szCs w:val="30"/>
        </w:rPr>
      </w:pPr>
    </w:p>
    <w:p>
      <w:pPr>
        <w:widowControl/>
        <w:spacing w:line="240" w:lineRule="auto"/>
        <w:ind w:firstLine="0" w:firstLineChars="0"/>
        <w:jc w:val="left"/>
        <w:rPr>
          <w:rFonts w:ascii="黑体" w:hAnsi="黑体" w:eastAsia="黑体" w:cs="Times New Roman"/>
          <w:szCs w:val="32"/>
        </w:rPr>
      </w:pPr>
      <w:r>
        <w:rPr>
          <w:rFonts w:ascii="仿宋_GB2312" w:hAnsi="仿宋" w:cs="仿宋"/>
          <w:color w:val="000000"/>
          <w:kern w:val="0"/>
          <w:sz w:val="30"/>
          <w:szCs w:val="30"/>
        </w:rPr>
        <w:br w:type="page"/>
      </w:r>
      <w:r>
        <w:rPr>
          <w:rFonts w:hint="eastAsia" w:ascii="黑体" w:hAnsi="黑体" w:eastAsia="黑体" w:cs="Times New Roman"/>
          <w:szCs w:val="32"/>
        </w:rPr>
        <w:t>附件4</w:t>
      </w:r>
    </w:p>
    <w:p>
      <w:pPr>
        <w:widowControl/>
        <w:shd w:val="clear" w:color="auto" w:fill="FFFFFF"/>
        <w:adjustRightInd w:val="0"/>
        <w:snapToGrid w:val="0"/>
        <w:spacing w:line="400" w:lineRule="exact"/>
        <w:ind w:firstLine="0" w:firstLineChars="0"/>
        <w:rPr>
          <w:rFonts w:ascii="仿宋_GB2312" w:hAnsi="Calibri" w:cs="Times New Roman"/>
          <w:sz w:val="30"/>
          <w:szCs w:val="30"/>
        </w:rPr>
      </w:pPr>
    </w:p>
    <w:p>
      <w:pPr>
        <w:widowControl/>
        <w:shd w:val="clear" w:color="auto" w:fill="FFFFFF"/>
        <w:adjustRightInd w:val="0"/>
        <w:snapToGrid w:val="0"/>
        <w:spacing w:line="400" w:lineRule="exact"/>
        <w:ind w:firstLine="0" w:firstLineChars="0"/>
        <w:jc w:val="center"/>
        <w:rPr>
          <w:rFonts w:ascii="方正小标宋简体" w:hAnsi="华文中宋" w:eastAsia="方正小标宋简体" w:cs="方正小标宋简体"/>
          <w:spacing w:val="4"/>
          <w:sz w:val="36"/>
          <w:szCs w:val="36"/>
        </w:rPr>
      </w:pPr>
      <w:r>
        <w:rPr>
          <w:rFonts w:hint="eastAsia" w:ascii="方正小标宋简体" w:hAnsi="华文中宋" w:eastAsia="方正小标宋简体" w:cs="方正小标宋简体"/>
          <w:spacing w:val="4"/>
          <w:sz w:val="36"/>
          <w:szCs w:val="36"/>
        </w:rPr>
        <w:t>辽宁省高校“三全育人”示范项目申报汇总表</w:t>
      </w:r>
    </w:p>
    <w:p>
      <w:pPr>
        <w:adjustRightInd w:val="0"/>
        <w:snapToGrid w:val="0"/>
        <w:spacing w:line="400" w:lineRule="exact"/>
        <w:ind w:firstLine="0" w:firstLineChars="0"/>
        <w:rPr>
          <w:rFonts w:ascii="仿宋_GB2312" w:hAnsi="仿宋" w:cs="Times New Roman"/>
          <w:spacing w:val="4"/>
          <w:sz w:val="30"/>
          <w:szCs w:val="30"/>
        </w:rPr>
      </w:pPr>
    </w:p>
    <w:p>
      <w:pPr>
        <w:adjustRightInd w:val="0"/>
        <w:snapToGrid w:val="0"/>
        <w:ind w:firstLine="0" w:firstLineChars="0"/>
        <w:rPr>
          <w:rFonts w:ascii="仿宋_GB2312" w:hAnsi="仿宋" w:cs="Times New Roman"/>
          <w:spacing w:val="4"/>
          <w:sz w:val="30"/>
          <w:szCs w:val="30"/>
        </w:rPr>
      </w:pPr>
      <w:r>
        <w:rPr>
          <w:rFonts w:hint="eastAsia" w:ascii="仿宋_GB2312" w:hAnsi="仿宋" w:cs="Times New Roman"/>
          <w:spacing w:val="4"/>
          <w:sz w:val="30"/>
          <w:szCs w:val="30"/>
        </w:rPr>
        <w:t>申报高校（党委盖章）：</w:t>
      </w:r>
    </w:p>
    <w:tbl>
      <w:tblPr>
        <w:tblStyle w:val="5"/>
        <w:tblpPr w:leftFromText="180" w:rightFromText="180" w:vertAnchor="text" w:horzAnchor="margin" w:tblpXSpec="center" w:tblpY="51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394"/>
        <w:gridCol w:w="25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widowControl/>
              <w:adjustRightInd w:val="0"/>
              <w:snapToGrid w:val="0"/>
              <w:spacing w:line="360" w:lineRule="auto"/>
              <w:ind w:firstLine="0" w:firstLineChars="0"/>
              <w:rPr>
                <w:rFonts w:ascii="仿宋_GB2312" w:hAnsi="Calibri" w:cs="Times New Roman"/>
                <w:b/>
                <w:sz w:val="30"/>
                <w:szCs w:val="30"/>
              </w:rPr>
            </w:pPr>
            <w:r>
              <w:rPr>
                <w:rFonts w:hint="eastAsia" w:ascii="仿宋_GB2312" w:hAnsi="Calibri" w:cs="Times New Roman"/>
                <w:b/>
                <w:sz w:val="30"/>
                <w:szCs w:val="30"/>
              </w:rPr>
              <w:t>序号</w:t>
            </w:r>
          </w:p>
        </w:tc>
        <w:tc>
          <w:tcPr>
            <w:tcW w:w="4394" w:type="dxa"/>
            <w:shd w:val="clear" w:color="auto" w:fill="auto"/>
            <w:vAlign w:val="center"/>
          </w:tcPr>
          <w:p>
            <w:pPr>
              <w:widowControl/>
              <w:adjustRightInd w:val="0"/>
              <w:snapToGrid w:val="0"/>
              <w:spacing w:line="360" w:lineRule="auto"/>
              <w:ind w:firstLine="1506" w:firstLineChars="500"/>
              <w:rPr>
                <w:rFonts w:ascii="仿宋_GB2312" w:hAnsi="Calibri" w:cs="Times New Roman"/>
                <w:b/>
                <w:sz w:val="30"/>
                <w:szCs w:val="30"/>
              </w:rPr>
            </w:pPr>
            <w:r>
              <w:rPr>
                <w:rFonts w:hint="eastAsia" w:ascii="仿宋_GB2312" w:hAnsi="Calibri" w:cs="Times New Roman"/>
                <w:b/>
                <w:sz w:val="30"/>
                <w:szCs w:val="30"/>
              </w:rPr>
              <w:t>示范类别</w:t>
            </w:r>
          </w:p>
          <w:p>
            <w:pPr>
              <w:widowControl/>
              <w:adjustRightInd w:val="0"/>
              <w:snapToGrid w:val="0"/>
              <w:spacing w:line="360" w:lineRule="auto"/>
              <w:ind w:firstLine="0" w:firstLineChars="0"/>
              <w:rPr>
                <w:rFonts w:ascii="仿宋_GB2312" w:hAnsi="Calibri" w:cs="Times New Roman"/>
                <w:b/>
                <w:sz w:val="30"/>
                <w:szCs w:val="30"/>
              </w:rPr>
            </w:pPr>
            <w:r>
              <w:rPr>
                <w:rFonts w:hint="eastAsia" w:ascii="仿宋_GB2312" w:hAnsi="Calibri" w:cs="Times New Roman"/>
                <w:b/>
                <w:sz w:val="30"/>
                <w:szCs w:val="30"/>
              </w:rPr>
              <w:t>（高校、院系、案例、基地）</w:t>
            </w:r>
          </w:p>
        </w:tc>
        <w:tc>
          <w:tcPr>
            <w:tcW w:w="2552" w:type="dxa"/>
            <w:shd w:val="clear" w:color="auto" w:fill="auto"/>
            <w:vAlign w:val="center"/>
          </w:tcPr>
          <w:p>
            <w:pPr>
              <w:widowControl/>
              <w:adjustRightInd w:val="0"/>
              <w:snapToGrid w:val="0"/>
              <w:spacing w:line="360" w:lineRule="auto"/>
              <w:ind w:firstLine="602" w:firstLineChars="0"/>
              <w:jc w:val="center"/>
              <w:rPr>
                <w:rFonts w:ascii="仿宋_GB2312" w:hAnsi="Calibri" w:cs="Times New Roman"/>
                <w:b/>
                <w:sz w:val="30"/>
                <w:szCs w:val="30"/>
              </w:rPr>
            </w:pPr>
            <w:r>
              <w:rPr>
                <w:rFonts w:hint="eastAsia" w:ascii="仿宋_GB2312" w:hAnsi="Calibri" w:cs="Times New Roman"/>
                <w:b/>
                <w:sz w:val="30"/>
                <w:szCs w:val="30"/>
              </w:rPr>
              <w:t>名称</w:t>
            </w:r>
          </w:p>
        </w:tc>
        <w:tc>
          <w:tcPr>
            <w:tcW w:w="1701" w:type="dxa"/>
            <w:shd w:val="clear" w:color="auto" w:fill="auto"/>
            <w:vAlign w:val="center"/>
          </w:tcPr>
          <w:p>
            <w:pPr>
              <w:widowControl/>
              <w:adjustRightInd w:val="0"/>
              <w:snapToGrid w:val="0"/>
              <w:spacing w:line="360" w:lineRule="auto"/>
              <w:ind w:firstLine="602"/>
              <w:rPr>
                <w:rFonts w:ascii="仿宋_GB2312" w:hAnsi="Calibri" w:cs="Times New Roman"/>
                <w:b/>
                <w:sz w:val="30"/>
                <w:szCs w:val="30"/>
              </w:rPr>
            </w:pPr>
            <w:r>
              <w:rPr>
                <w:rFonts w:hint="eastAsia" w:ascii="仿宋_GB2312" w:hAnsi="Calibri" w:cs="Times New Roman"/>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4394"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2552"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c>
          <w:tcPr>
            <w:tcW w:w="1701" w:type="dxa"/>
            <w:shd w:val="clear" w:color="auto" w:fill="auto"/>
          </w:tcPr>
          <w:p>
            <w:pPr>
              <w:widowControl/>
              <w:adjustRightInd w:val="0"/>
              <w:snapToGrid w:val="0"/>
              <w:spacing w:line="360" w:lineRule="auto"/>
              <w:ind w:firstLine="600" w:firstLineChars="0"/>
              <w:rPr>
                <w:rFonts w:ascii="仿宋_GB2312" w:hAnsi="Calibri" w:cs="Times New Roman"/>
                <w:sz w:val="30"/>
                <w:szCs w:val="30"/>
              </w:rPr>
            </w:pPr>
          </w:p>
        </w:tc>
      </w:tr>
    </w:tbl>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360" w:lineRule="auto"/>
        <w:ind w:firstLine="0" w:firstLineChars="0"/>
        <w:rPr>
          <w:rFonts w:ascii="仿宋_GB2312" w:hAnsi="Calibri" w:cs="Times New Roman"/>
          <w:sz w:val="30"/>
          <w:szCs w:val="30"/>
        </w:rPr>
      </w:pPr>
    </w:p>
    <w:p>
      <w:pPr>
        <w:widowControl/>
        <w:shd w:val="clear" w:color="auto" w:fill="FFFFFF"/>
        <w:adjustRightInd w:val="0"/>
        <w:snapToGrid w:val="0"/>
        <w:spacing w:line="400" w:lineRule="exact"/>
        <w:ind w:firstLine="0" w:firstLineChars="0"/>
        <w:rPr>
          <w:rFonts w:ascii="黑体" w:hAnsi="黑体" w:eastAsia="黑体" w:cs="Times New Roman"/>
          <w:szCs w:val="32"/>
        </w:rPr>
      </w:pPr>
    </w:p>
    <w:p>
      <w:pPr>
        <w:widowControl/>
        <w:shd w:val="clear" w:color="auto" w:fill="FFFFFF"/>
        <w:adjustRightInd w:val="0"/>
        <w:snapToGrid w:val="0"/>
        <w:spacing w:line="400" w:lineRule="exact"/>
        <w:ind w:firstLine="0" w:firstLineChars="0"/>
        <w:rPr>
          <w:rFonts w:ascii="黑体" w:hAnsi="黑体" w:eastAsia="黑体" w:cs="Times New Roman"/>
          <w:szCs w:val="32"/>
        </w:rPr>
      </w:pPr>
    </w:p>
    <w:p>
      <w:pPr>
        <w:widowControl/>
        <w:shd w:val="clear" w:color="auto" w:fill="FFFFFF"/>
        <w:adjustRightInd w:val="0"/>
        <w:snapToGrid w:val="0"/>
        <w:spacing w:line="600" w:lineRule="exact"/>
        <w:ind w:firstLine="0" w:firstLineChars="0"/>
        <w:rPr>
          <w:rFonts w:ascii="黑体" w:hAnsi="黑体" w:eastAsia="黑体" w:cs="Times New Roman"/>
          <w:szCs w:val="32"/>
        </w:rPr>
      </w:pPr>
      <w:r>
        <w:rPr>
          <w:rFonts w:ascii="黑体" w:hAnsi="黑体" w:eastAsia="黑体" w:cs="Times New Roman"/>
          <w:szCs w:val="32"/>
        </w:rPr>
        <w:t>附件</w:t>
      </w:r>
      <w:r>
        <w:rPr>
          <w:rFonts w:hint="eastAsia" w:ascii="黑体" w:hAnsi="黑体" w:eastAsia="黑体" w:cs="Times New Roman"/>
          <w:szCs w:val="32"/>
        </w:rPr>
        <w:t>5</w:t>
      </w:r>
    </w:p>
    <w:p>
      <w:pPr>
        <w:widowControl/>
        <w:shd w:val="clear" w:color="auto" w:fill="FFFFFF"/>
        <w:adjustRightInd w:val="0"/>
        <w:snapToGrid w:val="0"/>
        <w:spacing w:line="600" w:lineRule="exact"/>
        <w:ind w:firstLine="0" w:firstLineChars="0"/>
        <w:rPr>
          <w:rFonts w:ascii="仿宋_GB2312" w:hAnsi="Calibri" w:cs="Times New Roman"/>
          <w:sz w:val="30"/>
          <w:szCs w:val="30"/>
        </w:rPr>
      </w:pPr>
    </w:p>
    <w:p>
      <w:pPr>
        <w:widowControl/>
        <w:shd w:val="clear" w:color="auto" w:fill="FFFFFF"/>
        <w:adjustRightInd w:val="0"/>
        <w:snapToGrid w:val="0"/>
        <w:spacing w:line="600" w:lineRule="exact"/>
        <w:ind w:firstLine="0" w:firstLineChars="0"/>
        <w:jc w:val="center"/>
        <w:rPr>
          <w:rFonts w:hint="eastAsia" w:ascii="方正小标宋简体" w:hAnsi="华文中宋" w:eastAsia="方正小标宋简体" w:cs="方正小标宋简体"/>
          <w:spacing w:val="4"/>
          <w:sz w:val="36"/>
          <w:szCs w:val="36"/>
        </w:rPr>
      </w:pPr>
      <w:r>
        <w:rPr>
          <w:rFonts w:hint="eastAsia" w:ascii="方正小标宋简体" w:hAnsi="华文中宋" w:eastAsia="方正小标宋简体" w:cs="方正小标宋简体"/>
          <w:spacing w:val="4"/>
          <w:sz w:val="36"/>
          <w:szCs w:val="36"/>
        </w:rPr>
        <w:t>辽宁省“三全育人”示范高校申报表</w:t>
      </w:r>
    </w:p>
    <w:p>
      <w:pPr>
        <w:widowControl/>
        <w:shd w:val="clear" w:color="auto" w:fill="FFFFFF"/>
        <w:adjustRightInd w:val="0"/>
        <w:snapToGrid w:val="0"/>
        <w:spacing w:line="400" w:lineRule="exact"/>
        <w:ind w:firstLine="0" w:firstLineChars="0"/>
        <w:jc w:val="center"/>
        <w:rPr>
          <w:rFonts w:ascii="方正小标宋简体" w:hAnsi="华文中宋" w:eastAsia="方正小标宋简体" w:cs="方正小标宋简体"/>
          <w:spacing w:val="4"/>
          <w:sz w:val="44"/>
          <w:szCs w:val="44"/>
        </w:rPr>
      </w:pPr>
    </w:p>
    <w:tbl>
      <w:tblPr>
        <w:tblStyle w:val="5"/>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115"/>
        <w:gridCol w:w="1601"/>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申报高校</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 责 人</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负责部门</w:t>
            </w:r>
          </w:p>
        </w:tc>
        <w:tc>
          <w:tcPr>
            <w:tcW w:w="6613" w:type="dxa"/>
            <w:gridSpan w:val="3"/>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联 系 人</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手机号码</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邮   箱</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263" w:type="dxa"/>
            <w:gridSpan w:val="4"/>
          </w:tcPr>
          <w:p>
            <w:pPr>
              <w:spacing w:line="240" w:lineRule="auto"/>
              <w:ind w:firstLine="0" w:firstLineChars="0"/>
              <w:rPr>
                <w:rFonts w:ascii="宋体" w:hAnsi="宋体" w:eastAsia="宋体" w:cs="Times New Roman"/>
                <w:sz w:val="28"/>
                <w:szCs w:val="28"/>
              </w:rPr>
            </w:pPr>
            <w:r>
              <w:rPr>
                <w:rFonts w:hint="eastAsia" w:ascii="楷体_GB2312" w:hAnsi="楷体_GB2312" w:eastAsia="楷体_GB2312" w:cs="楷体_GB2312"/>
                <w:b/>
                <w:bCs/>
                <w:sz w:val="28"/>
                <w:szCs w:val="28"/>
              </w:rPr>
              <w:t>学校“三全育人”建设情况</w:t>
            </w:r>
            <w:r>
              <w:rPr>
                <w:rFonts w:hint="eastAsia" w:ascii="楷体_GB2312" w:hAnsi="楷体_GB2312" w:eastAsia="楷体_GB2312" w:cs="楷体_GB2312"/>
                <w:bCs/>
                <w:sz w:val="28"/>
                <w:szCs w:val="28"/>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263" w:type="dxa"/>
            <w:gridSpan w:val="4"/>
          </w:tcPr>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特色亮点</w:t>
            </w:r>
            <w:r>
              <w:rPr>
                <w:rFonts w:hint="eastAsia" w:ascii="楷体_GB2312" w:hAnsi="楷体_GB2312" w:eastAsia="楷体_GB2312" w:cs="楷体_GB2312"/>
                <w:bCs/>
                <w:sz w:val="28"/>
                <w:szCs w:val="28"/>
              </w:rPr>
              <w:t>（800字以内）：</w:t>
            </w:r>
          </w:p>
          <w:p>
            <w:pPr>
              <w:spacing w:line="240" w:lineRule="auto"/>
              <w:ind w:firstLine="0" w:firstLineChars="0"/>
              <w:rPr>
                <w:rFonts w:ascii="楷体_GB2312" w:hAnsi="楷体_GB2312" w:eastAsia="楷体_GB2312" w:cs="楷体_GB2312"/>
                <w:bCs/>
                <w:sz w:val="28"/>
                <w:szCs w:val="28"/>
              </w:rPr>
            </w:pPr>
          </w:p>
          <w:p>
            <w:pPr>
              <w:spacing w:line="240" w:lineRule="auto"/>
              <w:ind w:firstLine="0" w:firstLineChars="0"/>
              <w:rPr>
                <w:rFonts w:ascii="楷体_GB2312" w:hAnsi="楷体_GB2312" w:eastAsia="楷体_GB2312" w:cs="楷体_GB2312"/>
                <w:bCs/>
                <w:sz w:val="28"/>
                <w:szCs w:val="28"/>
              </w:rPr>
            </w:pPr>
          </w:p>
          <w:p>
            <w:pPr>
              <w:spacing w:line="240" w:lineRule="auto"/>
              <w:ind w:firstLine="0" w:firstLineChars="0"/>
              <w:rPr>
                <w:rFonts w:ascii="楷体_GB2312" w:hAnsi="楷体_GB2312" w:eastAsia="楷体_GB2312" w:cs="楷体_GB2312"/>
                <w:bCs/>
                <w:sz w:val="28"/>
                <w:szCs w:val="28"/>
              </w:rPr>
            </w:pPr>
          </w:p>
          <w:p>
            <w:pPr>
              <w:spacing w:line="240" w:lineRule="auto"/>
              <w:ind w:firstLine="0" w:firstLineChars="0"/>
              <w:rPr>
                <w:rFonts w:ascii="楷体_GB2312" w:hAnsi="楷体_GB2312" w:eastAsia="楷体_GB2312" w:cs="楷体_GB2312"/>
                <w:bCs/>
                <w:sz w:val="28"/>
                <w:szCs w:val="28"/>
              </w:rPr>
            </w:pPr>
          </w:p>
          <w:p>
            <w:pPr>
              <w:spacing w:line="240" w:lineRule="auto"/>
              <w:ind w:firstLine="0" w:firstLineChars="0"/>
              <w:rPr>
                <w:rFonts w:ascii="楷体_GB2312" w:hAnsi="楷体_GB2312" w:eastAsia="楷体_GB2312" w:cs="楷体_GB2312"/>
                <w:bCs/>
                <w:sz w:val="28"/>
                <w:szCs w:val="28"/>
              </w:rPr>
            </w:pPr>
          </w:p>
          <w:p>
            <w:pPr>
              <w:spacing w:line="240" w:lineRule="auto"/>
              <w:ind w:firstLine="0" w:firstLineChars="0"/>
              <w:rPr>
                <w:rFonts w:ascii="楷体_GB2312" w:hAnsi="楷体_GB2312" w:eastAsia="楷体_GB2312" w:cs="楷体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8" w:hRule="atLeast"/>
          <w:jc w:val="center"/>
        </w:trPr>
        <w:tc>
          <w:tcPr>
            <w:tcW w:w="8263" w:type="dxa"/>
            <w:gridSpan w:val="4"/>
          </w:tcPr>
          <w:p>
            <w:pPr>
              <w:spacing w:line="240" w:lineRule="auto"/>
              <w:ind w:firstLine="0" w:firstLineChars="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下一步工作计划</w:t>
            </w:r>
            <w:r>
              <w:rPr>
                <w:rFonts w:hint="eastAsia" w:ascii="楷体_GB2312" w:hAnsi="楷体_GB2312" w:eastAsia="楷体_GB2312" w:cs="楷体_GB2312"/>
                <w:bCs/>
                <w:sz w:val="28"/>
                <w:szCs w:val="28"/>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4" w:hRule="atLeast"/>
          <w:jc w:val="center"/>
        </w:trPr>
        <w:tc>
          <w:tcPr>
            <w:tcW w:w="8263" w:type="dxa"/>
            <w:gridSpan w:val="4"/>
            <w:vAlign w:val="center"/>
          </w:tcPr>
          <w:p>
            <w:pPr>
              <w:spacing w:line="500" w:lineRule="exact"/>
              <w:ind w:firstLine="0" w:firstLineChars="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学校党委意见</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r>
              <w:rPr>
                <w:rFonts w:hint="eastAsia" w:ascii="宋体" w:hAnsi="宋体" w:eastAsia="宋体" w:cs="Times New Roman"/>
                <w:sz w:val="28"/>
                <w:szCs w:val="28"/>
              </w:rPr>
              <w:t xml:space="preserve">                                 签字盖章：</w:t>
            </w:r>
          </w:p>
          <w:p>
            <w:pPr>
              <w:wordWrap w:val="0"/>
              <w:spacing w:line="240" w:lineRule="auto"/>
              <w:ind w:right="1120" w:firstLine="5040" w:firstLineChars="1800"/>
              <w:rPr>
                <w:rFonts w:ascii="宋体" w:hAnsi="宋体" w:eastAsia="宋体" w:cs="Times New Roman"/>
                <w:sz w:val="28"/>
                <w:szCs w:val="28"/>
              </w:rPr>
            </w:pPr>
            <w:r>
              <w:rPr>
                <w:rFonts w:hint="eastAsia" w:ascii="宋体" w:hAnsi="宋体" w:eastAsia="宋体" w:cs="Times New Roman"/>
                <w:sz w:val="28"/>
                <w:szCs w:val="28"/>
              </w:rPr>
              <w:t>年   月   日</w:t>
            </w:r>
          </w:p>
        </w:tc>
      </w:tr>
    </w:tbl>
    <w:p>
      <w:pPr>
        <w:widowControl/>
        <w:shd w:val="clear" w:color="auto" w:fill="FFFFFF"/>
        <w:adjustRightInd w:val="0"/>
        <w:snapToGrid w:val="0"/>
        <w:spacing w:line="360" w:lineRule="auto"/>
        <w:ind w:firstLine="0" w:firstLineChars="0"/>
        <w:rPr>
          <w:rFonts w:ascii="仿宋_GB2312" w:hAnsi="仿宋" w:cs="Times New Roman"/>
          <w:spacing w:val="4"/>
          <w:sz w:val="30"/>
          <w:szCs w:val="30"/>
        </w:rPr>
        <w:sectPr>
          <w:pgSz w:w="11906" w:h="16838"/>
          <w:pgMar w:top="1440" w:right="1800" w:bottom="1440" w:left="1800" w:header="851" w:footer="992" w:gutter="0"/>
          <w:pgNumType w:fmt="numberInDash"/>
          <w:cols w:space="425" w:num="1"/>
          <w:docGrid w:type="lines" w:linePitch="312" w:charSpace="0"/>
        </w:sectPr>
      </w:pPr>
    </w:p>
    <w:p>
      <w:pPr>
        <w:widowControl/>
        <w:shd w:val="clear" w:color="auto" w:fill="FFFFFF"/>
        <w:adjustRightInd w:val="0"/>
        <w:snapToGrid w:val="0"/>
        <w:spacing w:line="400" w:lineRule="exact"/>
        <w:ind w:firstLine="0" w:firstLineChars="0"/>
        <w:rPr>
          <w:rFonts w:ascii="黑体" w:hAnsi="黑体" w:eastAsia="黑体" w:cs="Times New Roman"/>
          <w:sz w:val="30"/>
          <w:szCs w:val="30"/>
        </w:rPr>
      </w:pPr>
      <w:r>
        <w:rPr>
          <w:rFonts w:hint="eastAsia" w:ascii="黑体" w:hAnsi="黑体" w:eastAsia="黑体" w:cs="Times New Roman"/>
          <w:sz w:val="30"/>
          <w:szCs w:val="30"/>
        </w:rPr>
        <w:t>附件6</w:t>
      </w:r>
    </w:p>
    <w:p>
      <w:pPr>
        <w:widowControl/>
        <w:shd w:val="clear" w:color="auto" w:fill="FFFFFF"/>
        <w:adjustRightInd w:val="0"/>
        <w:snapToGrid w:val="0"/>
        <w:spacing w:line="400" w:lineRule="exact"/>
        <w:ind w:firstLine="0" w:firstLineChars="0"/>
        <w:rPr>
          <w:rFonts w:ascii="仿宋_GB2312" w:hAnsi="Calibri" w:cs="Times New Roman"/>
          <w:sz w:val="30"/>
          <w:szCs w:val="30"/>
        </w:rPr>
      </w:pPr>
    </w:p>
    <w:p>
      <w:pPr>
        <w:widowControl/>
        <w:shd w:val="clear" w:color="auto" w:fill="FFFFFF"/>
        <w:adjustRightInd w:val="0"/>
        <w:snapToGrid w:val="0"/>
        <w:spacing w:line="400" w:lineRule="exact"/>
        <w:ind w:firstLine="0" w:firstLineChars="0"/>
        <w:jc w:val="center"/>
        <w:rPr>
          <w:rFonts w:hint="eastAsia" w:ascii="方正小标宋简体" w:hAnsi="华文中宋" w:eastAsia="方正小标宋简体" w:cs="方正小标宋简体"/>
          <w:spacing w:val="4"/>
          <w:sz w:val="36"/>
          <w:szCs w:val="36"/>
        </w:rPr>
      </w:pPr>
      <w:r>
        <w:rPr>
          <w:rFonts w:hint="eastAsia" w:ascii="方正小标宋简体" w:hAnsi="华文中宋" w:eastAsia="方正小标宋简体" w:cs="方正小标宋简体"/>
          <w:spacing w:val="4"/>
          <w:sz w:val="36"/>
          <w:szCs w:val="36"/>
        </w:rPr>
        <w:t>辽宁省高校“三全育人”示范院（系）申报表</w:t>
      </w:r>
    </w:p>
    <w:p>
      <w:pPr>
        <w:widowControl/>
        <w:shd w:val="clear" w:color="auto" w:fill="FFFFFF"/>
        <w:adjustRightInd w:val="0"/>
        <w:snapToGrid w:val="0"/>
        <w:spacing w:line="400" w:lineRule="exact"/>
        <w:ind w:firstLine="0" w:firstLineChars="0"/>
        <w:jc w:val="center"/>
        <w:rPr>
          <w:rFonts w:ascii="方正小标宋简体" w:hAnsi="华文中宋" w:eastAsia="方正小标宋简体" w:cs="方正小标宋简体"/>
          <w:spacing w:val="4"/>
          <w:sz w:val="36"/>
          <w:szCs w:val="36"/>
        </w:rPr>
      </w:pPr>
    </w:p>
    <w:tbl>
      <w:tblPr>
        <w:tblStyle w:val="5"/>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115"/>
        <w:gridCol w:w="1601"/>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申报高校</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负责部门</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申报院系</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 责 人</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联 系 人</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手机号码</w:t>
            </w:r>
          </w:p>
        </w:tc>
        <w:tc>
          <w:tcPr>
            <w:tcW w:w="2115" w:type="dxa"/>
          </w:tcPr>
          <w:p>
            <w:pPr>
              <w:spacing w:line="240" w:lineRule="auto"/>
              <w:ind w:firstLine="0" w:firstLineChars="0"/>
              <w:rPr>
                <w:rFonts w:ascii="仿宋_GB2312" w:hAnsi="仿宋_GB2312" w:cs="仿宋_GB2312"/>
                <w:sz w:val="28"/>
                <w:szCs w:val="28"/>
              </w:rPr>
            </w:pPr>
          </w:p>
        </w:tc>
        <w:tc>
          <w:tcPr>
            <w:tcW w:w="1601"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邮   箱</w:t>
            </w:r>
          </w:p>
        </w:tc>
        <w:tc>
          <w:tcPr>
            <w:tcW w:w="2897"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263" w:type="dxa"/>
            <w:gridSpan w:val="4"/>
          </w:tcPr>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前期基础</w:t>
            </w:r>
            <w:r>
              <w:rPr>
                <w:rFonts w:hint="eastAsia" w:ascii="楷体_GB2312" w:hAnsi="楷体_GB2312" w:eastAsia="楷体_GB2312" w:cs="楷体_GB2312"/>
                <w:bCs/>
                <w:sz w:val="28"/>
                <w:szCs w:val="28"/>
              </w:rPr>
              <w:t>（含体系建设、制度建设、具体做法、人财物保障等，1000字以内）：</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特色亮点</w:t>
            </w:r>
            <w:r>
              <w:rPr>
                <w:rFonts w:hint="eastAsia" w:ascii="楷体_GB2312" w:hAnsi="楷体_GB2312" w:eastAsia="楷体_GB2312" w:cs="楷体_GB2312"/>
                <w:bCs/>
                <w:sz w:val="28"/>
                <w:szCs w:val="28"/>
              </w:rPr>
              <w:t>（800字以内）：</w:t>
            </w: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8" w:hRule="atLeast"/>
          <w:jc w:val="center"/>
        </w:trPr>
        <w:tc>
          <w:tcPr>
            <w:tcW w:w="8263" w:type="dxa"/>
            <w:gridSpan w:val="4"/>
          </w:tcPr>
          <w:p>
            <w:pPr>
              <w:spacing w:line="240" w:lineRule="auto"/>
              <w:ind w:firstLine="0" w:firstLineChars="0"/>
              <w:rPr>
                <w:rFonts w:ascii="宋体" w:hAnsi="宋体" w:eastAsia="宋体" w:cs="Times New Roman"/>
                <w:sz w:val="28"/>
                <w:szCs w:val="28"/>
              </w:rPr>
            </w:pPr>
            <w:r>
              <w:rPr>
                <w:rFonts w:hint="eastAsia" w:ascii="楷体_GB2312" w:hAnsi="楷体_GB2312" w:eastAsia="楷体_GB2312" w:cs="楷体_GB2312"/>
                <w:b/>
                <w:bCs/>
                <w:sz w:val="28"/>
                <w:szCs w:val="28"/>
              </w:rPr>
              <w:t>下一步工作计划及进度安排</w:t>
            </w:r>
            <w:r>
              <w:rPr>
                <w:rFonts w:hint="eastAsia" w:ascii="楷体_GB2312" w:hAnsi="楷体_GB2312" w:eastAsia="楷体_GB2312" w:cs="楷体_GB2312"/>
                <w:bCs/>
                <w:sz w:val="28"/>
                <w:szCs w:val="28"/>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8263" w:type="dxa"/>
            <w:gridSpan w:val="4"/>
          </w:tcPr>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院（系）党组织意见</w:t>
            </w:r>
            <w:r>
              <w:rPr>
                <w:rFonts w:hint="eastAsia" w:ascii="楷体_GB2312" w:hAnsi="楷体_GB2312" w:eastAsia="楷体_GB2312" w:cs="楷体_GB2312"/>
                <w:bCs/>
                <w:sz w:val="28"/>
                <w:szCs w:val="28"/>
              </w:rPr>
              <w:t>：</w:t>
            </w: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4760" w:firstLineChars="1700"/>
              <w:rPr>
                <w:rFonts w:ascii="宋体" w:hAnsi="宋体" w:eastAsia="宋体" w:cs="Times New Roman"/>
                <w:sz w:val="28"/>
                <w:szCs w:val="28"/>
              </w:rPr>
            </w:pPr>
            <w:r>
              <w:rPr>
                <w:rFonts w:hint="eastAsia" w:ascii="宋体" w:hAnsi="宋体" w:eastAsia="宋体" w:cs="Times New Roman"/>
                <w:sz w:val="28"/>
                <w:szCs w:val="28"/>
              </w:rPr>
              <w:t>签字盖章：</w:t>
            </w:r>
          </w:p>
          <w:p>
            <w:pPr>
              <w:spacing w:line="240" w:lineRule="auto"/>
              <w:ind w:firstLine="5320" w:firstLineChars="1900"/>
              <w:rPr>
                <w:rFonts w:ascii="楷体_GB2312" w:hAnsi="楷体_GB2312" w:eastAsia="楷体_GB2312" w:cs="楷体_GB2312"/>
                <w:b/>
                <w:bCs/>
                <w:sz w:val="28"/>
                <w:szCs w:val="28"/>
              </w:rPr>
            </w:pPr>
            <w:r>
              <w:rPr>
                <w:rFonts w:hint="eastAsia" w:ascii="宋体" w:hAnsi="宋体" w:eastAsia="宋体"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4" w:hRule="atLeast"/>
          <w:jc w:val="center"/>
        </w:trPr>
        <w:tc>
          <w:tcPr>
            <w:tcW w:w="8263" w:type="dxa"/>
            <w:gridSpan w:val="4"/>
            <w:vAlign w:val="center"/>
          </w:tcPr>
          <w:p>
            <w:pPr>
              <w:spacing w:line="500" w:lineRule="exact"/>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学校党委意见</w:t>
            </w:r>
            <w:r>
              <w:rPr>
                <w:rFonts w:hint="eastAsia" w:ascii="楷体_GB2312" w:hAnsi="楷体_GB2312" w:eastAsia="楷体_GB2312" w:cs="楷体_GB2312"/>
                <w:bCs/>
                <w:sz w:val="28"/>
                <w:szCs w:val="28"/>
              </w:rPr>
              <w:t>：</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r>
              <w:rPr>
                <w:rFonts w:hint="eastAsia" w:ascii="宋体" w:hAnsi="宋体" w:eastAsia="宋体" w:cs="Times New Roman"/>
                <w:sz w:val="28"/>
                <w:szCs w:val="28"/>
              </w:rPr>
              <w:t xml:space="preserve">                                  签字盖章：</w:t>
            </w:r>
          </w:p>
          <w:p>
            <w:pPr>
              <w:wordWrap w:val="0"/>
              <w:spacing w:line="240" w:lineRule="auto"/>
              <w:ind w:right="1120" w:firstLine="0" w:firstLineChars="0"/>
              <w:jc w:val="center"/>
              <w:rPr>
                <w:rFonts w:ascii="宋体" w:hAnsi="宋体" w:eastAsia="宋体" w:cs="Times New Roman"/>
                <w:sz w:val="28"/>
                <w:szCs w:val="28"/>
              </w:rPr>
            </w:pPr>
            <w:r>
              <w:rPr>
                <w:rFonts w:hint="eastAsia" w:ascii="宋体" w:hAnsi="宋体" w:eastAsia="宋体" w:cs="Times New Roman"/>
                <w:sz w:val="28"/>
                <w:szCs w:val="28"/>
              </w:rPr>
              <w:t xml:space="preserve">                                     年   月   日</w:t>
            </w:r>
          </w:p>
        </w:tc>
      </w:tr>
    </w:tbl>
    <w:p>
      <w:pPr>
        <w:widowControl/>
        <w:shd w:val="clear" w:color="auto" w:fill="FFFFFF"/>
        <w:adjustRightInd w:val="0"/>
        <w:snapToGrid w:val="0"/>
        <w:spacing w:line="360" w:lineRule="auto"/>
        <w:ind w:firstLine="0" w:firstLineChars="0"/>
        <w:rPr>
          <w:rFonts w:ascii="仿宋_GB2312" w:hAnsi="仿宋" w:cs="Times New Roman"/>
          <w:spacing w:val="4"/>
          <w:sz w:val="30"/>
          <w:szCs w:val="30"/>
        </w:rPr>
        <w:sectPr>
          <w:pgSz w:w="11906" w:h="16838"/>
          <w:pgMar w:top="1440" w:right="1800" w:bottom="1440" w:left="1800" w:header="851" w:footer="992" w:gutter="0"/>
          <w:pgNumType w:fmt="numberInDash"/>
          <w:cols w:space="425" w:num="1"/>
          <w:docGrid w:type="lines" w:linePitch="312" w:charSpace="0"/>
        </w:sectPr>
      </w:pPr>
    </w:p>
    <w:p>
      <w:pPr>
        <w:widowControl/>
        <w:shd w:val="clear" w:color="auto" w:fill="FFFFFF"/>
        <w:adjustRightInd w:val="0"/>
        <w:snapToGrid w:val="0"/>
        <w:spacing w:line="400" w:lineRule="exact"/>
        <w:ind w:firstLine="0" w:firstLineChars="0"/>
        <w:rPr>
          <w:rFonts w:ascii="黑体" w:hAnsi="黑体" w:eastAsia="黑体" w:cs="Times New Roman"/>
          <w:szCs w:val="32"/>
        </w:rPr>
      </w:pPr>
      <w:r>
        <w:rPr>
          <w:rFonts w:hint="eastAsia" w:ascii="黑体" w:hAnsi="黑体" w:eastAsia="黑体" w:cs="Times New Roman"/>
          <w:szCs w:val="32"/>
        </w:rPr>
        <w:t>附件7</w:t>
      </w:r>
    </w:p>
    <w:p>
      <w:pPr>
        <w:widowControl/>
        <w:shd w:val="clear" w:color="auto" w:fill="FFFFFF"/>
        <w:adjustRightInd w:val="0"/>
        <w:snapToGrid w:val="0"/>
        <w:spacing w:line="400" w:lineRule="exact"/>
        <w:ind w:firstLine="0" w:firstLineChars="0"/>
        <w:rPr>
          <w:rFonts w:ascii="仿宋_GB2312" w:hAnsi="Calibri" w:cs="Times New Roman"/>
          <w:sz w:val="30"/>
          <w:szCs w:val="30"/>
        </w:rPr>
      </w:pPr>
    </w:p>
    <w:p>
      <w:pPr>
        <w:widowControl/>
        <w:shd w:val="clear" w:color="auto" w:fill="FFFFFF"/>
        <w:adjustRightInd w:val="0"/>
        <w:snapToGrid w:val="0"/>
        <w:spacing w:line="400" w:lineRule="exact"/>
        <w:ind w:firstLine="0" w:firstLineChars="0"/>
        <w:jc w:val="center"/>
        <w:rPr>
          <w:rFonts w:hint="eastAsia" w:ascii="方正小标宋简体" w:hAnsi="黑体" w:eastAsia="方正小标宋简体" w:cs="方正小标宋简体"/>
          <w:spacing w:val="4"/>
          <w:sz w:val="36"/>
          <w:szCs w:val="36"/>
        </w:rPr>
      </w:pPr>
      <w:r>
        <w:rPr>
          <w:rFonts w:hint="eastAsia" w:ascii="方正小标宋简体" w:hAnsi="黑体" w:eastAsia="方正小标宋简体" w:cs="方正小标宋简体"/>
          <w:spacing w:val="4"/>
          <w:sz w:val="36"/>
          <w:szCs w:val="36"/>
        </w:rPr>
        <w:t>辽宁省高校“三全育人”示范案例申报表</w:t>
      </w:r>
    </w:p>
    <w:p>
      <w:pPr>
        <w:widowControl/>
        <w:shd w:val="clear" w:color="auto" w:fill="FFFFFF"/>
        <w:adjustRightInd w:val="0"/>
        <w:snapToGrid w:val="0"/>
        <w:spacing w:line="400" w:lineRule="exact"/>
        <w:ind w:firstLine="0" w:firstLineChars="0"/>
        <w:jc w:val="center"/>
        <w:rPr>
          <w:rFonts w:ascii="方正小标宋简体" w:hAnsi="黑体" w:eastAsia="方正小标宋简体" w:cs="方正小标宋简体"/>
          <w:spacing w:val="4"/>
          <w:sz w:val="36"/>
          <w:szCs w:val="36"/>
        </w:rPr>
      </w:pPr>
    </w:p>
    <w:tbl>
      <w:tblPr>
        <w:tblStyle w:val="5"/>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115"/>
        <w:gridCol w:w="174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申报高校</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负责部门</w:t>
            </w:r>
          </w:p>
        </w:tc>
        <w:tc>
          <w:tcPr>
            <w:tcW w:w="6613" w:type="dxa"/>
            <w:gridSpan w:val="3"/>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案例名称</w:t>
            </w:r>
          </w:p>
        </w:tc>
        <w:tc>
          <w:tcPr>
            <w:tcW w:w="6613" w:type="dxa"/>
            <w:gridSpan w:val="3"/>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 责 人</w:t>
            </w:r>
          </w:p>
        </w:tc>
        <w:tc>
          <w:tcPr>
            <w:tcW w:w="2115" w:type="dxa"/>
          </w:tcPr>
          <w:p>
            <w:pPr>
              <w:spacing w:line="240" w:lineRule="auto"/>
              <w:ind w:firstLine="0" w:firstLineChars="0"/>
              <w:rPr>
                <w:rFonts w:ascii="仿宋_GB2312" w:hAnsi="仿宋_GB2312" w:cs="仿宋_GB2312"/>
                <w:sz w:val="28"/>
                <w:szCs w:val="28"/>
              </w:rPr>
            </w:pPr>
          </w:p>
        </w:tc>
        <w:tc>
          <w:tcPr>
            <w:tcW w:w="1743"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755"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联 系 人</w:t>
            </w:r>
          </w:p>
        </w:tc>
        <w:tc>
          <w:tcPr>
            <w:tcW w:w="2115" w:type="dxa"/>
          </w:tcPr>
          <w:p>
            <w:pPr>
              <w:spacing w:line="240" w:lineRule="auto"/>
              <w:ind w:firstLine="0" w:firstLineChars="0"/>
              <w:rPr>
                <w:rFonts w:ascii="仿宋_GB2312" w:hAnsi="仿宋_GB2312" w:cs="仿宋_GB2312"/>
                <w:sz w:val="28"/>
                <w:szCs w:val="28"/>
              </w:rPr>
            </w:pPr>
          </w:p>
        </w:tc>
        <w:tc>
          <w:tcPr>
            <w:tcW w:w="1743"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755"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手机号码</w:t>
            </w:r>
          </w:p>
        </w:tc>
        <w:tc>
          <w:tcPr>
            <w:tcW w:w="2115" w:type="dxa"/>
          </w:tcPr>
          <w:p>
            <w:pPr>
              <w:spacing w:line="240" w:lineRule="auto"/>
              <w:ind w:firstLine="0" w:firstLineChars="0"/>
              <w:rPr>
                <w:rFonts w:ascii="仿宋_GB2312" w:hAnsi="仿宋_GB2312" w:cs="仿宋_GB2312"/>
                <w:sz w:val="28"/>
                <w:szCs w:val="28"/>
              </w:rPr>
            </w:pPr>
          </w:p>
        </w:tc>
        <w:tc>
          <w:tcPr>
            <w:tcW w:w="1743"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邮    箱</w:t>
            </w:r>
          </w:p>
        </w:tc>
        <w:tc>
          <w:tcPr>
            <w:tcW w:w="2755"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263" w:type="dxa"/>
            <w:gridSpan w:val="4"/>
          </w:tcPr>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示范案例简介</w:t>
            </w:r>
            <w:r>
              <w:rPr>
                <w:rFonts w:hint="eastAsia" w:ascii="楷体_GB2312" w:hAnsi="楷体_GB2312" w:eastAsia="楷体_GB2312" w:cs="楷体_GB2312"/>
                <w:bCs/>
                <w:sz w:val="28"/>
                <w:szCs w:val="28"/>
              </w:rPr>
              <w:t>（1500-2000字）：</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3" w:hRule="atLeast"/>
          <w:jc w:val="center"/>
        </w:trPr>
        <w:tc>
          <w:tcPr>
            <w:tcW w:w="8263" w:type="dxa"/>
            <w:gridSpan w:val="4"/>
          </w:tcPr>
          <w:p>
            <w:pPr>
              <w:spacing w:line="240" w:lineRule="auto"/>
              <w:ind w:firstLine="0" w:firstLineChars="0"/>
              <w:rPr>
                <w:rFonts w:ascii="宋体" w:hAnsi="宋体" w:eastAsia="宋体" w:cs="Times New Roman"/>
                <w:sz w:val="28"/>
                <w:szCs w:val="28"/>
              </w:rPr>
            </w:pPr>
            <w:r>
              <w:rPr>
                <w:rFonts w:hint="eastAsia" w:ascii="楷体_GB2312" w:hAnsi="楷体_GB2312" w:eastAsia="楷体_GB2312" w:cs="楷体_GB2312"/>
                <w:b/>
                <w:bCs/>
                <w:sz w:val="28"/>
                <w:szCs w:val="28"/>
              </w:rPr>
              <w:t>育人成效情况</w:t>
            </w:r>
            <w:r>
              <w:rPr>
                <w:rFonts w:hint="eastAsia" w:ascii="楷体_GB2312" w:hAnsi="楷体_GB2312" w:eastAsia="楷体_GB2312" w:cs="楷体_GB2312"/>
                <w:bCs/>
                <w:sz w:val="28"/>
                <w:szCs w:val="28"/>
              </w:rPr>
              <w:t>（包括获奖情况、省级以上主流媒体报道情况等，报道内容可另附页）：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4" w:hRule="atLeast"/>
          <w:jc w:val="center"/>
        </w:trPr>
        <w:tc>
          <w:tcPr>
            <w:tcW w:w="8263" w:type="dxa"/>
            <w:gridSpan w:val="4"/>
            <w:vAlign w:val="center"/>
          </w:tcPr>
          <w:p>
            <w:pPr>
              <w:spacing w:line="500" w:lineRule="exact"/>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学校党委意见</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r>
              <w:rPr>
                <w:rFonts w:hint="eastAsia" w:ascii="宋体" w:hAnsi="宋体" w:eastAsia="宋体" w:cs="Times New Roman"/>
                <w:sz w:val="28"/>
                <w:szCs w:val="28"/>
              </w:rPr>
              <w:t xml:space="preserve">                                 签字盖章：</w:t>
            </w:r>
          </w:p>
          <w:p>
            <w:pPr>
              <w:wordWrap w:val="0"/>
              <w:spacing w:line="240" w:lineRule="auto"/>
              <w:ind w:right="1120" w:firstLine="0" w:firstLineChars="0"/>
              <w:jc w:val="center"/>
              <w:rPr>
                <w:rFonts w:ascii="宋体" w:hAnsi="宋体" w:eastAsia="宋体" w:cs="Times New Roman"/>
                <w:sz w:val="28"/>
                <w:szCs w:val="28"/>
              </w:rPr>
            </w:pPr>
            <w:r>
              <w:rPr>
                <w:rFonts w:hint="eastAsia" w:ascii="宋体" w:hAnsi="宋体" w:eastAsia="宋体" w:cs="Times New Roman"/>
                <w:sz w:val="28"/>
                <w:szCs w:val="28"/>
              </w:rPr>
              <w:t xml:space="preserve">                                   年   月   日</w:t>
            </w:r>
          </w:p>
          <w:p>
            <w:pPr>
              <w:wordWrap w:val="0"/>
              <w:spacing w:line="240" w:lineRule="auto"/>
              <w:ind w:right="1120" w:firstLine="0" w:firstLineChars="0"/>
              <w:jc w:val="center"/>
              <w:rPr>
                <w:rFonts w:ascii="宋体" w:hAnsi="宋体" w:eastAsia="宋体" w:cs="Times New Roman"/>
                <w:sz w:val="28"/>
                <w:szCs w:val="28"/>
              </w:rPr>
            </w:pPr>
          </w:p>
        </w:tc>
      </w:tr>
    </w:tbl>
    <w:p>
      <w:pPr>
        <w:widowControl/>
        <w:shd w:val="clear" w:color="auto" w:fill="FFFFFF"/>
        <w:adjustRightInd w:val="0"/>
        <w:snapToGrid w:val="0"/>
        <w:spacing w:line="360" w:lineRule="auto"/>
        <w:ind w:firstLine="0" w:firstLineChars="0"/>
        <w:rPr>
          <w:rFonts w:ascii="仿宋_GB2312" w:hAnsi="仿宋" w:cs="Times New Roman"/>
          <w:spacing w:val="4"/>
          <w:sz w:val="30"/>
          <w:szCs w:val="30"/>
        </w:rPr>
        <w:sectPr>
          <w:pgSz w:w="11906" w:h="16838"/>
          <w:pgMar w:top="1440" w:right="1800" w:bottom="1440" w:left="1800" w:header="851" w:footer="992" w:gutter="0"/>
          <w:pgNumType w:fmt="numberInDash"/>
          <w:cols w:space="425" w:num="1"/>
          <w:docGrid w:type="lines" w:linePitch="312" w:charSpace="0"/>
        </w:sectPr>
      </w:pPr>
    </w:p>
    <w:p>
      <w:pPr>
        <w:widowControl/>
        <w:shd w:val="clear" w:color="auto" w:fill="FFFFFF"/>
        <w:adjustRightInd w:val="0"/>
        <w:snapToGrid w:val="0"/>
        <w:spacing w:line="400" w:lineRule="exact"/>
        <w:ind w:firstLine="0" w:firstLineChars="0"/>
        <w:rPr>
          <w:rFonts w:ascii="黑体" w:hAnsi="黑体" w:eastAsia="黑体" w:cs="Times New Roman"/>
          <w:szCs w:val="32"/>
        </w:rPr>
      </w:pPr>
      <w:r>
        <w:rPr>
          <w:rFonts w:hint="eastAsia" w:ascii="黑体" w:hAnsi="黑体" w:eastAsia="黑体" w:cs="Times New Roman"/>
          <w:szCs w:val="32"/>
        </w:rPr>
        <w:t>附件8</w:t>
      </w:r>
    </w:p>
    <w:p>
      <w:pPr>
        <w:widowControl/>
        <w:shd w:val="clear" w:color="auto" w:fill="FFFFFF"/>
        <w:adjustRightInd w:val="0"/>
        <w:snapToGrid w:val="0"/>
        <w:spacing w:line="400" w:lineRule="exact"/>
        <w:ind w:firstLine="0" w:firstLineChars="0"/>
        <w:rPr>
          <w:rFonts w:ascii="黑体" w:hAnsi="黑体" w:eastAsia="黑体" w:cs="Times New Roman"/>
          <w:szCs w:val="32"/>
        </w:rPr>
      </w:pPr>
    </w:p>
    <w:p>
      <w:pPr>
        <w:widowControl/>
        <w:shd w:val="clear" w:color="auto" w:fill="FFFFFF"/>
        <w:adjustRightInd w:val="0"/>
        <w:snapToGrid w:val="0"/>
        <w:spacing w:line="400" w:lineRule="exact"/>
        <w:ind w:firstLine="0" w:firstLineChars="0"/>
        <w:jc w:val="center"/>
        <w:rPr>
          <w:rFonts w:hint="eastAsia" w:ascii="方正小标宋简体" w:hAnsi="华文中宋" w:eastAsia="方正小标宋简体" w:cs="方正小标宋简体"/>
          <w:spacing w:val="4"/>
          <w:sz w:val="36"/>
          <w:szCs w:val="36"/>
        </w:rPr>
      </w:pPr>
      <w:r>
        <w:rPr>
          <w:rFonts w:hint="eastAsia" w:ascii="方正小标宋简体" w:hAnsi="华文中宋" w:eastAsia="方正小标宋简体" w:cs="方正小标宋简体"/>
          <w:spacing w:val="4"/>
          <w:sz w:val="36"/>
          <w:szCs w:val="36"/>
        </w:rPr>
        <w:t>辽宁省高校“三全育人”公开基地申报表</w:t>
      </w:r>
    </w:p>
    <w:p>
      <w:pPr>
        <w:widowControl/>
        <w:shd w:val="clear" w:color="auto" w:fill="FFFFFF"/>
        <w:adjustRightInd w:val="0"/>
        <w:snapToGrid w:val="0"/>
        <w:spacing w:line="400" w:lineRule="exact"/>
        <w:ind w:firstLine="0" w:firstLineChars="0"/>
        <w:jc w:val="center"/>
        <w:rPr>
          <w:rFonts w:ascii="方正小标宋简体" w:hAnsi="华文中宋" w:eastAsia="方正小标宋简体" w:cs="方正小标宋简体"/>
          <w:spacing w:val="4"/>
          <w:sz w:val="36"/>
          <w:szCs w:val="36"/>
        </w:rPr>
      </w:pPr>
    </w:p>
    <w:tbl>
      <w:tblPr>
        <w:tblStyle w:val="5"/>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115"/>
        <w:gridCol w:w="188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申报高校</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基地名称</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50" w:type="dxa"/>
          </w:tcPr>
          <w:p>
            <w:pPr>
              <w:spacing w:line="240" w:lineRule="atLeast"/>
              <w:ind w:firstLine="0" w:firstLineChars="0"/>
              <w:jc w:val="center"/>
              <w:rPr>
                <w:rFonts w:ascii="仿宋_GB2312" w:hAnsi="仿宋_GB2312" w:cs="仿宋_GB2312"/>
                <w:sz w:val="28"/>
                <w:szCs w:val="28"/>
              </w:rPr>
            </w:pPr>
            <w:r>
              <w:rPr>
                <w:rFonts w:hint="eastAsia" w:ascii="仿宋_GB2312" w:hAnsi="仿宋_GB2312" w:cs="仿宋_GB2312"/>
                <w:sz w:val="28"/>
                <w:szCs w:val="28"/>
              </w:rPr>
              <w:t>基地地址</w:t>
            </w:r>
          </w:p>
        </w:tc>
        <w:tc>
          <w:tcPr>
            <w:tcW w:w="6613" w:type="dxa"/>
            <w:gridSpan w:val="3"/>
          </w:tcPr>
          <w:p>
            <w:pPr>
              <w:spacing w:line="240" w:lineRule="atLeast"/>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负 责 人</w:t>
            </w:r>
          </w:p>
        </w:tc>
        <w:tc>
          <w:tcPr>
            <w:tcW w:w="2115" w:type="dxa"/>
          </w:tcPr>
          <w:p>
            <w:pPr>
              <w:spacing w:line="240" w:lineRule="auto"/>
              <w:ind w:firstLine="0" w:firstLineChars="0"/>
              <w:rPr>
                <w:rFonts w:ascii="仿宋_GB2312" w:hAnsi="仿宋_GB2312" w:cs="仿宋_GB2312"/>
                <w:sz w:val="28"/>
                <w:szCs w:val="28"/>
              </w:rPr>
            </w:pPr>
          </w:p>
        </w:tc>
        <w:tc>
          <w:tcPr>
            <w:tcW w:w="1884"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614"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联 系 人</w:t>
            </w:r>
          </w:p>
        </w:tc>
        <w:tc>
          <w:tcPr>
            <w:tcW w:w="2115" w:type="dxa"/>
          </w:tcPr>
          <w:p>
            <w:pPr>
              <w:spacing w:line="240" w:lineRule="auto"/>
              <w:ind w:firstLine="0" w:firstLineChars="0"/>
              <w:rPr>
                <w:rFonts w:ascii="仿宋_GB2312" w:hAnsi="仿宋_GB2312" w:cs="仿宋_GB2312"/>
                <w:sz w:val="28"/>
                <w:szCs w:val="28"/>
              </w:rPr>
            </w:pPr>
          </w:p>
        </w:tc>
        <w:tc>
          <w:tcPr>
            <w:tcW w:w="1884"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职    务</w:t>
            </w:r>
          </w:p>
        </w:tc>
        <w:tc>
          <w:tcPr>
            <w:tcW w:w="2614"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0"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手机号码</w:t>
            </w:r>
          </w:p>
        </w:tc>
        <w:tc>
          <w:tcPr>
            <w:tcW w:w="2115" w:type="dxa"/>
          </w:tcPr>
          <w:p>
            <w:pPr>
              <w:spacing w:line="240" w:lineRule="auto"/>
              <w:ind w:firstLine="0" w:firstLineChars="0"/>
              <w:rPr>
                <w:rFonts w:ascii="仿宋_GB2312" w:hAnsi="仿宋_GB2312" w:cs="仿宋_GB2312"/>
                <w:sz w:val="28"/>
                <w:szCs w:val="28"/>
              </w:rPr>
            </w:pPr>
          </w:p>
        </w:tc>
        <w:tc>
          <w:tcPr>
            <w:tcW w:w="1884" w:type="dxa"/>
          </w:tcPr>
          <w:p>
            <w:pPr>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邮    箱</w:t>
            </w:r>
          </w:p>
        </w:tc>
        <w:tc>
          <w:tcPr>
            <w:tcW w:w="2614" w:type="dxa"/>
          </w:tcPr>
          <w:p>
            <w:pPr>
              <w:spacing w:line="240" w:lineRule="auto"/>
              <w:ind w:firstLine="0" w:firstLineChars="0"/>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263" w:type="dxa"/>
            <w:gridSpan w:val="4"/>
          </w:tcPr>
          <w:p>
            <w:pPr>
              <w:spacing w:line="240" w:lineRule="auto"/>
              <w:ind w:firstLine="0" w:firstLineChars="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基地概况</w:t>
            </w:r>
            <w:r>
              <w:rPr>
                <w:rFonts w:hint="eastAsia" w:ascii="楷体_GB2312" w:hAnsi="楷体_GB2312" w:eastAsia="楷体_GB2312" w:cs="楷体_GB2312"/>
                <w:bCs/>
                <w:sz w:val="28"/>
                <w:szCs w:val="28"/>
              </w:rPr>
              <w:t>（含场地、人员、建设计划、预算及经费来源、已有或预期成果等，1000字以内）：</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公开模式简介</w:t>
            </w:r>
            <w:r>
              <w:rPr>
                <w:rFonts w:hint="eastAsia" w:ascii="楷体_GB2312" w:hAnsi="楷体_GB2312" w:eastAsia="楷体_GB2312" w:cs="楷体_GB2312"/>
                <w:bCs/>
                <w:sz w:val="28"/>
                <w:szCs w:val="28"/>
              </w:rPr>
              <w:t>（包括公开方式、公开范围、第三方参与共建的模式等（800字以内）：</w:t>
            </w: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楷体_GB2312" w:hAnsi="楷体_GB2312" w:eastAsia="楷体_GB2312" w:cs="楷体_GB2312"/>
                <w:b/>
                <w:bCs/>
                <w:sz w:val="28"/>
                <w:szCs w:val="28"/>
              </w:rPr>
            </w:pPr>
          </w:p>
          <w:p>
            <w:pPr>
              <w:spacing w:line="240" w:lineRule="auto"/>
              <w:ind w:firstLine="0" w:firstLineChars="0"/>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4" w:hRule="atLeast"/>
          <w:jc w:val="center"/>
        </w:trPr>
        <w:tc>
          <w:tcPr>
            <w:tcW w:w="8263" w:type="dxa"/>
            <w:gridSpan w:val="4"/>
            <w:vAlign w:val="center"/>
          </w:tcPr>
          <w:p>
            <w:pPr>
              <w:spacing w:line="500" w:lineRule="exact"/>
              <w:ind w:firstLine="0" w:firstLineChars="0"/>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学校党委意见</w:t>
            </w: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p>
          <w:p>
            <w:pPr>
              <w:spacing w:line="240" w:lineRule="auto"/>
              <w:ind w:firstLine="0" w:firstLineChars="0"/>
              <w:rPr>
                <w:rFonts w:ascii="宋体" w:hAnsi="宋体" w:eastAsia="宋体" w:cs="Times New Roman"/>
                <w:sz w:val="28"/>
                <w:szCs w:val="28"/>
              </w:rPr>
            </w:pPr>
            <w:r>
              <w:rPr>
                <w:rFonts w:hint="eastAsia" w:ascii="宋体" w:hAnsi="宋体" w:eastAsia="宋体" w:cs="Times New Roman"/>
                <w:sz w:val="28"/>
                <w:szCs w:val="28"/>
              </w:rPr>
              <w:t xml:space="preserve">                                 签字盖章：</w:t>
            </w:r>
          </w:p>
          <w:p>
            <w:pPr>
              <w:wordWrap w:val="0"/>
              <w:spacing w:line="240" w:lineRule="auto"/>
              <w:ind w:right="1120" w:firstLine="0" w:firstLineChars="0"/>
              <w:jc w:val="right"/>
              <w:rPr>
                <w:rFonts w:ascii="宋体" w:hAnsi="宋体" w:eastAsia="宋体" w:cs="Times New Roman"/>
                <w:sz w:val="28"/>
                <w:szCs w:val="28"/>
              </w:rPr>
            </w:pPr>
            <w:r>
              <w:rPr>
                <w:rFonts w:hint="eastAsia" w:ascii="宋体" w:hAnsi="宋体" w:eastAsia="宋体" w:cs="Times New Roman"/>
                <w:sz w:val="28"/>
                <w:szCs w:val="28"/>
              </w:rPr>
              <w:t>年   月   日</w:t>
            </w:r>
          </w:p>
          <w:p>
            <w:pPr>
              <w:spacing w:line="240" w:lineRule="auto"/>
              <w:ind w:right="1120" w:firstLine="0" w:firstLineChars="0"/>
              <w:jc w:val="right"/>
              <w:rPr>
                <w:rFonts w:ascii="宋体" w:hAnsi="宋体" w:eastAsia="宋体" w:cs="Times New Roman"/>
                <w:sz w:val="28"/>
                <w:szCs w:val="28"/>
              </w:rPr>
            </w:pPr>
          </w:p>
        </w:tc>
      </w:tr>
    </w:tbl>
    <w:p>
      <w:pPr>
        <w:adjustRightInd w:val="0"/>
        <w:snapToGrid w:val="0"/>
        <w:spacing w:line="20" w:lineRule="exact"/>
        <w:ind w:firstLine="0" w:firstLineChars="0"/>
        <w:rPr>
          <w:rFonts w:ascii="仿宋_GB2312" w:hAnsi="仿宋_GB2312" w:cs="仿宋_GB2312"/>
          <w:spacing w:val="4"/>
          <w:szCs w:val="32"/>
        </w:rPr>
      </w:pPr>
    </w:p>
    <w:p>
      <w:pPr>
        <w:spacing w:line="20" w:lineRule="exact"/>
        <w:ind w:firstLine="0" w:firstLineChars="0"/>
        <w:rPr>
          <w:rFonts w:ascii="仿宋" w:hAnsi="仿宋" w:eastAsia="仿宋" w:cs="Times New Roman"/>
          <w:spacing w:val="-6"/>
          <w:szCs w:val="32"/>
        </w:rPr>
      </w:pPr>
      <w:bookmarkStart w:id="0" w:name="zwfile"/>
      <w:bookmarkEnd w:id="0"/>
    </w:p>
    <w:p>
      <w:pPr>
        <w:spacing w:line="20" w:lineRule="exact"/>
        <w:ind w:firstLine="640"/>
      </w:pPr>
    </w:p>
    <w:sectPr>
      <w:headerReference r:id="rId8" w:type="first"/>
      <w:footerReference r:id="rId11" w:type="first"/>
      <w:headerReference r:id="rId6" w:type="default"/>
      <w:footerReference r:id="rId9" w:type="default"/>
      <w:headerReference r:id="rId7" w:type="even"/>
      <w:footerReference r:id="rId10" w:type="even"/>
      <w:pgSz w:w="11906" w:h="16838"/>
      <w:pgMar w:top="2098" w:right="1588" w:bottom="2098" w:left="1588" w:header="851" w:footer="1531" w:gutter="0"/>
      <w:pgNumType w:fmt="numberInDash" w:chapSep="em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39 -</w:t>
    </w:r>
    <w:r>
      <w:rPr>
        <w:rFonts w:ascii="宋体" w:hAnsi="宋体"/>
        <w:sz w:val="28"/>
        <w:szCs w:val="28"/>
      </w:rPr>
      <w:fldChar w:fldCharType="end"/>
    </w:r>
  </w:p>
  <w:p>
    <w:pPr>
      <w:pStyle w:val="4"/>
      <w:wordWrap w:val="0"/>
      <w:ind w:right="280" w:firstLine="420" w:firstLineChars="150"/>
      <w:jc w:val="right"/>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right"/>
    </w:pPr>
    <w:r>
      <w:fldChar w:fldCharType="begin"/>
    </w:r>
    <w:r>
      <w:instrText xml:space="preserve"> PAGE   \* MERGEFORMAT </w:instrText>
    </w:r>
    <w:r>
      <w:fldChar w:fldCharType="separate"/>
    </w:r>
    <w:r>
      <w:rPr>
        <w:lang w:val="zh-CN"/>
      </w:rPr>
      <w:t>-</w:t>
    </w:r>
    <w:r>
      <w:t xml:space="preserve"> 0 -</w:t>
    </w:r>
    <w:r>
      <w:fldChar w:fldCharType="end"/>
    </w:r>
  </w:p>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70"/>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AF"/>
    <w:rsid w:val="00000E4D"/>
    <w:rsid w:val="00001197"/>
    <w:rsid w:val="0000148E"/>
    <w:rsid w:val="000018EF"/>
    <w:rsid w:val="00001A31"/>
    <w:rsid w:val="00001E89"/>
    <w:rsid w:val="0000202A"/>
    <w:rsid w:val="000025FB"/>
    <w:rsid w:val="00005A4C"/>
    <w:rsid w:val="00006068"/>
    <w:rsid w:val="000073C2"/>
    <w:rsid w:val="000113E7"/>
    <w:rsid w:val="0001365C"/>
    <w:rsid w:val="000136D1"/>
    <w:rsid w:val="00014CEA"/>
    <w:rsid w:val="00014EC5"/>
    <w:rsid w:val="000176F2"/>
    <w:rsid w:val="00017B9F"/>
    <w:rsid w:val="00021475"/>
    <w:rsid w:val="00021C49"/>
    <w:rsid w:val="000221B9"/>
    <w:rsid w:val="0002262C"/>
    <w:rsid w:val="00022C64"/>
    <w:rsid w:val="00022F40"/>
    <w:rsid w:val="000234B7"/>
    <w:rsid w:val="00024773"/>
    <w:rsid w:val="00024DB8"/>
    <w:rsid w:val="00026E1F"/>
    <w:rsid w:val="00027203"/>
    <w:rsid w:val="000310F1"/>
    <w:rsid w:val="000314DB"/>
    <w:rsid w:val="00033E59"/>
    <w:rsid w:val="00035A69"/>
    <w:rsid w:val="00035FBF"/>
    <w:rsid w:val="00036091"/>
    <w:rsid w:val="000362B0"/>
    <w:rsid w:val="000363E4"/>
    <w:rsid w:val="0003652B"/>
    <w:rsid w:val="00037657"/>
    <w:rsid w:val="000437C9"/>
    <w:rsid w:val="00045577"/>
    <w:rsid w:val="00045E42"/>
    <w:rsid w:val="000473C3"/>
    <w:rsid w:val="00047659"/>
    <w:rsid w:val="00047EFD"/>
    <w:rsid w:val="00050180"/>
    <w:rsid w:val="00050E86"/>
    <w:rsid w:val="00051559"/>
    <w:rsid w:val="000520CA"/>
    <w:rsid w:val="000552C1"/>
    <w:rsid w:val="00055C10"/>
    <w:rsid w:val="0005665A"/>
    <w:rsid w:val="0005748D"/>
    <w:rsid w:val="00057FEA"/>
    <w:rsid w:val="00061256"/>
    <w:rsid w:val="00062F65"/>
    <w:rsid w:val="0006306B"/>
    <w:rsid w:val="00063950"/>
    <w:rsid w:val="000640A7"/>
    <w:rsid w:val="00064828"/>
    <w:rsid w:val="000651DC"/>
    <w:rsid w:val="00066925"/>
    <w:rsid w:val="00066B14"/>
    <w:rsid w:val="00066B44"/>
    <w:rsid w:val="000708B9"/>
    <w:rsid w:val="00070920"/>
    <w:rsid w:val="00070DC0"/>
    <w:rsid w:val="000710A0"/>
    <w:rsid w:val="0007148B"/>
    <w:rsid w:val="00071F28"/>
    <w:rsid w:val="0007325D"/>
    <w:rsid w:val="0007426D"/>
    <w:rsid w:val="00074299"/>
    <w:rsid w:val="00074593"/>
    <w:rsid w:val="000754A1"/>
    <w:rsid w:val="00075725"/>
    <w:rsid w:val="00075DDB"/>
    <w:rsid w:val="00077DDD"/>
    <w:rsid w:val="00080BF3"/>
    <w:rsid w:val="000826CC"/>
    <w:rsid w:val="00082951"/>
    <w:rsid w:val="00083461"/>
    <w:rsid w:val="00084171"/>
    <w:rsid w:val="000845AF"/>
    <w:rsid w:val="00085F4F"/>
    <w:rsid w:val="0008646D"/>
    <w:rsid w:val="00090718"/>
    <w:rsid w:val="00090D9B"/>
    <w:rsid w:val="00090DAF"/>
    <w:rsid w:val="00091642"/>
    <w:rsid w:val="00091C3B"/>
    <w:rsid w:val="00091D5C"/>
    <w:rsid w:val="00092167"/>
    <w:rsid w:val="000936C1"/>
    <w:rsid w:val="000938CF"/>
    <w:rsid w:val="000943E5"/>
    <w:rsid w:val="00094FE8"/>
    <w:rsid w:val="000957AD"/>
    <w:rsid w:val="0009598F"/>
    <w:rsid w:val="00096DA2"/>
    <w:rsid w:val="0009724F"/>
    <w:rsid w:val="000A0CC4"/>
    <w:rsid w:val="000A18E1"/>
    <w:rsid w:val="000A231E"/>
    <w:rsid w:val="000A2B5E"/>
    <w:rsid w:val="000A2D23"/>
    <w:rsid w:val="000A35EB"/>
    <w:rsid w:val="000A3992"/>
    <w:rsid w:val="000A3C7E"/>
    <w:rsid w:val="000A5F9C"/>
    <w:rsid w:val="000A6A02"/>
    <w:rsid w:val="000A7F7C"/>
    <w:rsid w:val="000B0377"/>
    <w:rsid w:val="000B0F83"/>
    <w:rsid w:val="000B158D"/>
    <w:rsid w:val="000B1E51"/>
    <w:rsid w:val="000B2639"/>
    <w:rsid w:val="000B3562"/>
    <w:rsid w:val="000B4528"/>
    <w:rsid w:val="000B559F"/>
    <w:rsid w:val="000B6217"/>
    <w:rsid w:val="000B7201"/>
    <w:rsid w:val="000C0C10"/>
    <w:rsid w:val="000C11D5"/>
    <w:rsid w:val="000C15BF"/>
    <w:rsid w:val="000C2BE6"/>
    <w:rsid w:val="000C40CB"/>
    <w:rsid w:val="000C5044"/>
    <w:rsid w:val="000C60B7"/>
    <w:rsid w:val="000D06EB"/>
    <w:rsid w:val="000D0979"/>
    <w:rsid w:val="000D2485"/>
    <w:rsid w:val="000D2778"/>
    <w:rsid w:val="000D2C23"/>
    <w:rsid w:val="000D31A6"/>
    <w:rsid w:val="000D41F4"/>
    <w:rsid w:val="000D4244"/>
    <w:rsid w:val="000D4B8B"/>
    <w:rsid w:val="000D4F44"/>
    <w:rsid w:val="000D5614"/>
    <w:rsid w:val="000D63A6"/>
    <w:rsid w:val="000D64D5"/>
    <w:rsid w:val="000D6C0A"/>
    <w:rsid w:val="000E0895"/>
    <w:rsid w:val="000E0E97"/>
    <w:rsid w:val="000E1FFB"/>
    <w:rsid w:val="000E226B"/>
    <w:rsid w:val="000E265A"/>
    <w:rsid w:val="000E292D"/>
    <w:rsid w:val="000E30D9"/>
    <w:rsid w:val="000E5A52"/>
    <w:rsid w:val="000E63BB"/>
    <w:rsid w:val="000E7142"/>
    <w:rsid w:val="000E74D5"/>
    <w:rsid w:val="000E74DC"/>
    <w:rsid w:val="000E7BEC"/>
    <w:rsid w:val="000E7CEB"/>
    <w:rsid w:val="000F074A"/>
    <w:rsid w:val="000F2F3E"/>
    <w:rsid w:val="000F3293"/>
    <w:rsid w:val="000F3A9A"/>
    <w:rsid w:val="000F5278"/>
    <w:rsid w:val="000F690B"/>
    <w:rsid w:val="000F6AED"/>
    <w:rsid w:val="000F70F7"/>
    <w:rsid w:val="000F7578"/>
    <w:rsid w:val="001003AE"/>
    <w:rsid w:val="001005B9"/>
    <w:rsid w:val="00101592"/>
    <w:rsid w:val="001026A9"/>
    <w:rsid w:val="001043A8"/>
    <w:rsid w:val="00104A77"/>
    <w:rsid w:val="00104AB6"/>
    <w:rsid w:val="00105817"/>
    <w:rsid w:val="001078C8"/>
    <w:rsid w:val="00107C4D"/>
    <w:rsid w:val="00111710"/>
    <w:rsid w:val="00112448"/>
    <w:rsid w:val="0011265D"/>
    <w:rsid w:val="00112736"/>
    <w:rsid w:val="00112E37"/>
    <w:rsid w:val="001130D9"/>
    <w:rsid w:val="00115112"/>
    <w:rsid w:val="001153D1"/>
    <w:rsid w:val="0011667B"/>
    <w:rsid w:val="00117863"/>
    <w:rsid w:val="001178DE"/>
    <w:rsid w:val="00120162"/>
    <w:rsid w:val="001207CE"/>
    <w:rsid w:val="00121151"/>
    <w:rsid w:val="00121206"/>
    <w:rsid w:val="0012125A"/>
    <w:rsid w:val="00121B07"/>
    <w:rsid w:val="0012297B"/>
    <w:rsid w:val="00124628"/>
    <w:rsid w:val="00126B9B"/>
    <w:rsid w:val="0012719C"/>
    <w:rsid w:val="001271B8"/>
    <w:rsid w:val="00127488"/>
    <w:rsid w:val="00130476"/>
    <w:rsid w:val="00130554"/>
    <w:rsid w:val="00130571"/>
    <w:rsid w:val="001305FB"/>
    <w:rsid w:val="0013113B"/>
    <w:rsid w:val="001314BE"/>
    <w:rsid w:val="001319C0"/>
    <w:rsid w:val="00132088"/>
    <w:rsid w:val="001343B7"/>
    <w:rsid w:val="00134F90"/>
    <w:rsid w:val="001352FE"/>
    <w:rsid w:val="0013605A"/>
    <w:rsid w:val="00137546"/>
    <w:rsid w:val="0013770E"/>
    <w:rsid w:val="001379B0"/>
    <w:rsid w:val="00140B4E"/>
    <w:rsid w:val="00140EAE"/>
    <w:rsid w:val="001425D1"/>
    <w:rsid w:val="00142ED2"/>
    <w:rsid w:val="00143522"/>
    <w:rsid w:val="001436AD"/>
    <w:rsid w:val="00143B2A"/>
    <w:rsid w:val="00143E68"/>
    <w:rsid w:val="001445E9"/>
    <w:rsid w:val="0014516C"/>
    <w:rsid w:val="001452DD"/>
    <w:rsid w:val="0014533E"/>
    <w:rsid w:val="00145985"/>
    <w:rsid w:val="00146661"/>
    <w:rsid w:val="00147AF1"/>
    <w:rsid w:val="00147F3D"/>
    <w:rsid w:val="001541F4"/>
    <w:rsid w:val="001546E3"/>
    <w:rsid w:val="001559EE"/>
    <w:rsid w:val="00155B8C"/>
    <w:rsid w:val="00160C68"/>
    <w:rsid w:val="0016126E"/>
    <w:rsid w:val="001615E5"/>
    <w:rsid w:val="00163158"/>
    <w:rsid w:val="0016381F"/>
    <w:rsid w:val="00163DF7"/>
    <w:rsid w:val="0016418C"/>
    <w:rsid w:val="00164C15"/>
    <w:rsid w:val="00170405"/>
    <w:rsid w:val="00171A5B"/>
    <w:rsid w:val="001752A1"/>
    <w:rsid w:val="001763E6"/>
    <w:rsid w:val="00176C87"/>
    <w:rsid w:val="001816DF"/>
    <w:rsid w:val="00181E1A"/>
    <w:rsid w:val="001825E5"/>
    <w:rsid w:val="00182850"/>
    <w:rsid w:val="001840D3"/>
    <w:rsid w:val="00184300"/>
    <w:rsid w:val="00185047"/>
    <w:rsid w:val="001862EC"/>
    <w:rsid w:val="00186413"/>
    <w:rsid w:val="001864F3"/>
    <w:rsid w:val="00186576"/>
    <w:rsid w:val="001865DB"/>
    <w:rsid w:val="00186B03"/>
    <w:rsid w:val="00187E63"/>
    <w:rsid w:val="00190212"/>
    <w:rsid w:val="0019057C"/>
    <w:rsid w:val="0019275C"/>
    <w:rsid w:val="0019285C"/>
    <w:rsid w:val="00193171"/>
    <w:rsid w:val="001932D2"/>
    <w:rsid w:val="00193926"/>
    <w:rsid w:val="0019413E"/>
    <w:rsid w:val="001942D4"/>
    <w:rsid w:val="001948A4"/>
    <w:rsid w:val="001962FA"/>
    <w:rsid w:val="00196F04"/>
    <w:rsid w:val="00197F30"/>
    <w:rsid w:val="001A17F0"/>
    <w:rsid w:val="001A1F3C"/>
    <w:rsid w:val="001A206E"/>
    <w:rsid w:val="001A22E0"/>
    <w:rsid w:val="001A309C"/>
    <w:rsid w:val="001A4422"/>
    <w:rsid w:val="001A4A40"/>
    <w:rsid w:val="001A6F47"/>
    <w:rsid w:val="001A78DD"/>
    <w:rsid w:val="001B0C36"/>
    <w:rsid w:val="001B1330"/>
    <w:rsid w:val="001B3725"/>
    <w:rsid w:val="001B3FBD"/>
    <w:rsid w:val="001B47A1"/>
    <w:rsid w:val="001B4B66"/>
    <w:rsid w:val="001B559B"/>
    <w:rsid w:val="001B57E0"/>
    <w:rsid w:val="001B5C7F"/>
    <w:rsid w:val="001B690B"/>
    <w:rsid w:val="001B72B9"/>
    <w:rsid w:val="001B7C42"/>
    <w:rsid w:val="001C02F6"/>
    <w:rsid w:val="001C0512"/>
    <w:rsid w:val="001C0FA8"/>
    <w:rsid w:val="001C1D39"/>
    <w:rsid w:val="001C1DB0"/>
    <w:rsid w:val="001C2D4A"/>
    <w:rsid w:val="001C2D4D"/>
    <w:rsid w:val="001C377F"/>
    <w:rsid w:val="001C3E27"/>
    <w:rsid w:val="001C4077"/>
    <w:rsid w:val="001C4286"/>
    <w:rsid w:val="001C4BCC"/>
    <w:rsid w:val="001C501C"/>
    <w:rsid w:val="001C5026"/>
    <w:rsid w:val="001C5040"/>
    <w:rsid w:val="001C5A23"/>
    <w:rsid w:val="001C6E78"/>
    <w:rsid w:val="001C7C3B"/>
    <w:rsid w:val="001D042F"/>
    <w:rsid w:val="001D2D27"/>
    <w:rsid w:val="001D3E6B"/>
    <w:rsid w:val="001D4A86"/>
    <w:rsid w:val="001D59CB"/>
    <w:rsid w:val="001D5DA3"/>
    <w:rsid w:val="001D681D"/>
    <w:rsid w:val="001D6B27"/>
    <w:rsid w:val="001D6B74"/>
    <w:rsid w:val="001D7EDF"/>
    <w:rsid w:val="001E073B"/>
    <w:rsid w:val="001E0C85"/>
    <w:rsid w:val="001E0D14"/>
    <w:rsid w:val="001E2907"/>
    <w:rsid w:val="001E2A7A"/>
    <w:rsid w:val="001E2C29"/>
    <w:rsid w:val="001E4952"/>
    <w:rsid w:val="001E5956"/>
    <w:rsid w:val="001E65B6"/>
    <w:rsid w:val="001F1099"/>
    <w:rsid w:val="001F1CF0"/>
    <w:rsid w:val="001F1CFF"/>
    <w:rsid w:val="001F2CB2"/>
    <w:rsid w:val="001F2E59"/>
    <w:rsid w:val="001F37B5"/>
    <w:rsid w:val="001F3A5D"/>
    <w:rsid w:val="001F3CA5"/>
    <w:rsid w:val="001F3D5A"/>
    <w:rsid w:val="001F4504"/>
    <w:rsid w:val="001F4701"/>
    <w:rsid w:val="001F52C3"/>
    <w:rsid w:val="001F6801"/>
    <w:rsid w:val="002003C7"/>
    <w:rsid w:val="00201B68"/>
    <w:rsid w:val="00202087"/>
    <w:rsid w:val="0020302B"/>
    <w:rsid w:val="00204CE1"/>
    <w:rsid w:val="00205984"/>
    <w:rsid w:val="00206155"/>
    <w:rsid w:val="00207288"/>
    <w:rsid w:val="00207702"/>
    <w:rsid w:val="00211658"/>
    <w:rsid w:val="00212AA9"/>
    <w:rsid w:val="002134AF"/>
    <w:rsid w:val="00213B97"/>
    <w:rsid w:val="00213CDA"/>
    <w:rsid w:val="0021602E"/>
    <w:rsid w:val="002202F9"/>
    <w:rsid w:val="002203A1"/>
    <w:rsid w:val="00220534"/>
    <w:rsid w:val="00222FA3"/>
    <w:rsid w:val="0022339D"/>
    <w:rsid w:val="00223912"/>
    <w:rsid w:val="00223DF8"/>
    <w:rsid w:val="00224192"/>
    <w:rsid w:val="00224854"/>
    <w:rsid w:val="00224D4B"/>
    <w:rsid w:val="00226484"/>
    <w:rsid w:val="002268B3"/>
    <w:rsid w:val="00226A06"/>
    <w:rsid w:val="0022752B"/>
    <w:rsid w:val="00227BDC"/>
    <w:rsid w:val="00227C1C"/>
    <w:rsid w:val="002302B2"/>
    <w:rsid w:val="0023064A"/>
    <w:rsid w:val="00230FBC"/>
    <w:rsid w:val="00232105"/>
    <w:rsid w:val="0023250E"/>
    <w:rsid w:val="00233618"/>
    <w:rsid w:val="00234691"/>
    <w:rsid w:val="002346BF"/>
    <w:rsid w:val="002347FA"/>
    <w:rsid w:val="00234C5E"/>
    <w:rsid w:val="0024074C"/>
    <w:rsid w:val="00240756"/>
    <w:rsid w:val="002409A8"/>
    <w:rsid w:val="00241EE1"/>
    <w:rsid w:val="002423F8"/>
    <w:rsid w:val="00243050"/>
    <w:rsid w:val="00243814"/>
    <w:rsid w:val="00246888"/>
    <w:rsid w:val="00246DAF"/>
    <w:rsid w:val="002477F2"/>
    <w:rsid w:val="00250EA9"/>
    <w:rsid w:val="002512D1"/>
    <w:rsid w:val="00253380"/>
    <w:rsid w:val="002542EC"/>
    <w:rsid w:val="00254401"/>
    <w:rsid w:val="00255C64"/>
    <w:rsid w:val="00257C4E"/>
    <w:rsid w:val="00257E91"/>
    <w:rsid w:val="00260A15"/>
    <w:rsid w:val="00261A9F"/>
    <w:rsid w:val="002623D3"/>
    <w:rsid w:val="00263046"/>
    <w:rsid w:val="002634CB"/>
    <w:rsid w:val="00263F01"/>
    <w:rsid w:val="00264613"/>
    <w:rsid w:val="00264F52"/>
    <w:rsid w:val="0026530B"/>
    <w:rsid w:val="00265590"/>
    <w:rsid w:val="00265659"/>
    <w:rsid w:val="0026623F"/>
    <w:rsid w:val="00266C72"/>
    <w:rsid w:val="00267A11"/>
    <w:rsid w:val="002707A6"/>
    <w:rsid w:val="00270A3D"/>
    <w:rsid w:val="00270DD2"/>
    <w:rsid w:val="00273EAA"/>
    <w:rsid w:val="002746EE"/>
    <w:rsid w:val="00274F88"/>
    <w:rsid w:val="00276302"/>
    <w:rsid w:val="00276B80"/>
    <w:rsid w:val="00277766"/>
    <w:rsid w:val="00280E18"/>
    <w:rsid w:val="002813EF"/>
    <w:rsid w:val="00281496"/>
    <w:rsid w:val="00281EEC"/>
    <w:rsid w:val="002838B9"/>
    <w:rsid w:val="002845DA"/>
    <w:rsid w:val="0028508E"/>
    <w:rsid w:val="00286596"/>
    <w:rsid w:val="0028712A"/>
    <w:rsid w:val="00287841"/>
    <w:rsid w:val="0029063B"/>
    <w:rsid w:val="00290BC8"/>
    <w:rsid w:val="002926EB"/>
    <w:rsid w:val="00293333"/>
    <w:rsid w:val="002935F6"/>
    <w:rsid w:val="0029716C"/>
    <w:rsid w:val="00297AA6"/>
    <w:rsid w:val="002A0B1E"/>
    <w:rsid w:val="002A0CC3"/>
    <w:rsid w:val="002A160B"/>
    <w:rsid w:val="002A2390"/>
    <w:rsid w:val="002A29BF"/>
    <w:rsid w:val="002A2E25"/>
    <w:rsid w:val="002A3694"/>
    <w:rsid w:val="002A3DE8"/>
    <w:rsid w:val="002A4894"/>
    <w:rsid w:val="002A50E1"/>
    <w:rsid w:val="002A5EDB"/>
    <w:rsid w:val="002A6E88"/>
    <w:rsid w:val="002A736E"/>
    <w:rsid w:val="002A7519"/>
    <w:rsid w:val="002B146F"/>
    <w:rsid w:val="002B2224"/>
    <w:rsid w:val="002B28D0"/>
    <w:rsid w:val="002B3D76"/>
    <w:rsid w:val="002B4FD7"/>
    <w:rsid w:val="002B5CD9"/>
    <w:rsid w:val="002B62B1"/>
    <w:rsid w:val="002B7477"/>
    <w:rsid w:val="002C07DB"/>
    <w:rsid w:val="002C456B"/>
    <w:rsid w:val="002C49AC"/>
    <w:rsid w:val="002C78B6"/>
    <w:rsid w:val="002D0105"/>
    <w:rsid w:val="002D027D"/>
    <w:rsid w:val="002D0382"/>
    <w:rsid w:val="002D03BF"/>
    <w:rsid w:val="002D175C"/>
    <w:rsid w:val="002D2DF2"/>
    <w:rsid w:val="002D3BFC"/>
    <w:rsid w:val="002D3CBD"/>
    <w:rsid w:val="002D5E9D"/>
    <w:rsid w:val="002D611F"/>
    <w:rsid w:val="002D70B2"/>
    <w:rsid w:val="002D7356"/>
    <w:rsid w:val="002D73A8"/>
    <w:rsid w:val="002D78FB"/>
    <w:rsid w:val="002E061B"/>
    <w:rsid w:val="002E0CAE"/>
    <w:rsid w:val="002E28BD"/>
    <w:rsid w:val="002E4263"/>
    <w:rsid w:val="002E44EF"/>
    <w:rsid w:val="002E5053"/>
    <w:rsid w:val="002E5331"/>
    <w:rsid w:val="002F0426"/>
    <w:rsid w:val="002F115B"/>
    <w:rsid w:val="002F15FC"/>
    <w:rsid w:val="002F1A94"/>
    <w:rsid w:val="002F25C0"/>
    <w:rsid w:val="002F27F0"/>
    <w:rsid w:val="002F29A3"/>
    <w:rsid w:val="002F3BCF"/>
    <w:rsid w:val="002F40D5"/>
    <w:rsid w:val="002F49DE"/>
    <w:rsid w:val="002F4A46"/>
    <w:rsid w:val="002F4ACE"/>
    <w:rsid w:val="002F4E56"/>
    <w:rsid w:val="002F5132"/>
    <w:rsid w:val="002F52D1"/>
    <w:rsid w:val="002F7550"/>
    <w:rsid w:val="002F7B94"/>
    <w:rsid w:val="002F7C60"/>
    <w:rsid w:val="003007BF"/>
    <w:rsid w:val="003007D6"/>
    <w:rsid w:val="00301717"/>
    <w:rsid w:val="00302321"/>
    <w:rsid w:val="00302CCF"/>
    <w:rsid w:val="00303177"/>
    <w:rsid w:val="00303EE2"/>
    <w:rsid w:val="0030409A"/>
    <w:rsid w:val="003062E2"/>
    <w:rsid w:val="003101EB"/>
    <w:rsid w:val="00310865"/>
    <w:rsid w:val="0031151B"/>
    <w:rsid w:val="00311C1F"/>
    <w:rsid w:val="00311D45"/>
    <w:rsid w:val="00311F80"/>
    <w:rsid w:val="003135C1"/>
    <w:rsid w:val="003135F5"/>
    <w:rsid w:val="00317CEA"/>
    <w:rsid w:val="0032163D"/>
    <w:rsid w:val="003229AC"/>
    <w:rsid w:val="00322CDA"/>
    <w:rsid w:val="003248B2"/>
    <w:rsid w:val="003254DF"/>
    <w:rsid w:val="003255D3"/>
    <w:rsid w:val="00325FE9"/>
    <w:rsid w:val="003261F3"/>
    <w:rsid w:val="00326E66"/>
    <w:rsid w:val="003307E0"/>
    <w:rsid w:val="003338EF"/>
    <w:rsid w:val="003343E7"/>
    <w:rsid w:val="0033576F"/>
    <w:rsid w:val="00337E62"/>
    <w:rsid w:val="0034079F"/>
    <w:rsid w:val="00342371"/>
    <w:rsid w:val="00343100"/>
    <w:rsid w:val="0034357A"/>
    <w:rsid w:val="00344237"/>
    <w:rsid w:val="00346558"/>
    <w:rsid w:val="00346F26"/>
    <w:rsid w:val="003502BA"/>
    <w:rsid w:val="0035035E"/>
    <w:rsid w:val="00352861"/>
    <w:rsid w:val="00353C80"/>
    <w:rsid w:val="00355A53"/>
    <w:rsid w:val="00355E97"/>
    <w:rsid w:val="00356301"/>
    <w:rsid w:val="00356D66"/>
    <w:rsid w:val="003575E6"/>
    <w:rsid w:val="00360C9B"/>
    <w:rsid w:val="003613F3"/>
    <w:rsid w:val="00361613"/>
    <w:rsid w:val="00364ADF"/>
    <w:rsid w:val="003662A1"/>
    <w:rsid w:val="003666A5"/>
    <w:rsid w:val="0036720C"/>
    <w:rsid w:val="00370BAD"/>
    <w:rsid w:val="00370E9E"/>
    <w:rsid w:val="003711AA"/>
    <w:rsid w:val="00371CF1"/>
    <w:rsid w:val="00372E55"/>
    <w:rsid w:val="00372E61"/>
    <w:rsid w:val="00375DAF"/>
    <w:rsid w:val="00375EB3"/>
    <w:rsid w:val="00377A8D"/>
    <w:rsid w:val="00377BF5"/>
    <w:rsid w:val="003801D7"/>
    <w:rsid w:val="00383145"/>
    <w:rsid w:val="003849C3"/>
    <w:rsid w:val="00384B27"/>
    <w:rsid w:val="0038572A"/>
    <w:rsid w:val="00386171"/>
    <w:rsid w:val="003867D7"/>
    <w:rsid w:val="00386EB7"/>
    <w:rsid w:val="00387A21"/>
    <w:rsid w:val="0039082F"/>
    <w:rsid w:val="003914CA"/>
    <w:rsid w:val="003917DA"/>
    <w:rsid w:val="00392981"/>
    <w:rsid w:val="0039357C"/>
    <w:rsid w:val="00393905"/>
    <w:rsid w:val="00393B79"/>
    <w:rsid w:val="00393DC6"/>
    <w:rsid w:val="0039488A"/>
    <w:rsid w:val="003957D2"/>
    <w:rsid w:val="003960A6"/>
    <w:rsid w:val="003975E2"/>
    <w:rsid w:val="003976E4"/>
    <w:rsid w:val="003A0B23"/>
    <w:rsid w:val="003A0E8D"/>
    <w:rsid w:val="003A1B24"/>
    <w:rsid w:val="003A332B"/>
    <w:rsid w:val="003A428D"/>
    <w:rsid w:val="003A4BED"/>
    <w:rsid w:val="003A4C64"/>
    <w:rsid w:val="003A6D0B"/>
    <w:rsid w:val="003B0677"/>
    <w:rsid w:val="003B0D93"/>
    <w:rsid w:val="003B0E57"/>
    <w:rsid w:val="003B0E9C"/>
    <w:rsid w:val="003B0FE2"/>
    <w:rsid w:val="003B1F64"/>
    <w:rsid w:val="003B2022"/>
    <w:rsid w:val="003B301F"/>
    <w:rsid w:val="003B4365"/>
    <w:rsid w:val="003B4552"/>
    <w:rsid w:val="003B46C8"/>
    <w:rsid w:val="003B505F"/>
    <w:rsid w:val="003B5211"/>
    <w:rsid w:val="003B57E9"/>
    <w:rsid w:val="003B6499"/>
    <w:rsid w:val="003B6F59"/>
    <w:rsid w:val="003B6FFC"/>
    <w:rsid w:val="003B7289"/>
    <w:rsid w:val="003B7773"/>
    <w:rsid w:val="003B7E7B"/>
    <w:rsid w:val="003B7FC4"/>
    <w:rsid w:val="003C02DA"/>
    <w:rsid w:val="003C08DE"/>
    <w:rsid w:val="003C0C60"/>
    <w:rsid w:val="003C1E17"/>
    <w:rsid w:val="003C2480"/>
    <w:rsid w:val="003C305E"/>
    <w:rsid w:val="003C395B"/>
    <w:rsid w:val="003C487C"/>
    <w:rsid w:val="003C489E"/>
    <w:rsid w:val="003C6117"/>
    <w:rsid w:val="003C6907"/>
    <w:rsid w:val="003C691D"/>
    <w:rsid w:val="003C7626"/>
    <w:rsid w:val="003D03C0"/>
    <w:rsid w:val="003D0A85"/>
    <w:rsid w:val="003D1677"/>
    <w:rsid w:val="003D1B05"/>
    <w:rsid w:val="003D3068"/>
    <w:rsid w:val="003D3F91"/>
    <w:rsid w:val="003D4D5B"/>
    <w:rsid w:val="003D568D"/>
    <w:rsid w:val="003D5F34"/>
    <w:rsid w:val="003D63A4"/>
    <w:rsid w:val="003D63B1"/>
    <w:rsid w:val="003D6953"/>
    <w:rsid w:val="003D69B2"/>
    <w:rsid w:val="003D7E85"/>
    <w:rsid w:val="003E0145"/>
    <w:rsid w:val="003E0442"/>
    <w:rsid w:val="003E087F"/>
    <w:rsid w:val="003E0DAA"/>
    <w:rsid w:val="003E1911"/>
    <w:rsid w:val="003E1A64"/>
    <w:rsid w:val="003E1D09"/>
    <w:rsid w:val="003E53E3"/>
    <w:rsid w:val="003E584B"/>
    <w:rsid w:val="003E63C5"/>
    <w:rsid w:val="003E686F"/>
    <w:rsid w:val="003E7BB0"/>
    <w:rsid w:val="003E7D5B"/>
    <w:rsid w:val="003E7E58"/>
    <w:rsid w:val="003F1DC4"/>
    <w:rsid w:val="003F2931"/>
    <w:rsid w:val="003F35F6"/>
    <w:rsid w:val="003F3D7D"/>
    <w:rsid w:val="003F4418"/>
    <w:rsid w:val="003F4CBB"/>
    <w:rsid w:val="003F5BF9"/>
    <w:rsid w:val="003F66BD"/>
    <w:rsid w:val="003F6CDE"/>
    <w:rsid w:val="003F6F54"/>
    <w:rsid w:val="003F7A8A"/>
    <w:rsid w:val="003F7FE7"/>
    <w:rsid w:val="00400116"/>
    <w:rsid w:val="004005F5"/>
    <w:rsid w:val="00400B97"/>
    <w:rsid w:val="00400DEF"/>
    <w:rsid w:val="00401A60"/>
    <w:rsid w:val="0040399A"/>
    <w:rsid w:val="004042D6"/>
    <w:rsid w:val="00404556"/>
    <w:rsid w:val="004059C6"/>
    <w:rsid w:val="004061A4"/>
    <w:rsid w:val="0040708B"/>
    <w:rsid w:val="004132FA"/>
    <w:rsid w:val="004146B5"/>
    <w:rsid w:val="00414EBE"/>
    <w:rsid w:val="0041614B"/>
    <w:rsid w:val="00417003"/>
    <w:rsid w:val="00417CF6"/>
    <w:rsid w:val="00420167"/>
    <w:rsid w:val="004201BF"/>
    <w:rsid w:val="0042026C"/>
    <w:rsid w:val="00420F8E"/>
    <w:rsid w:val="00421AFB"/>
    <w:rsid w:val="00421C75"/>
    <w:rsid w:val="00424910"/>
    <w:rsid w:val="00424A81"/>
    <w:rsid w:val="00424F69"/>
    <w:rsid w:val="00425394"/>
    <w:rsid w:val="00426309"/>
    <w:rsid w:val="0042638E"/>
    <w:rsid w:val="00426C05"/>
    <w:rsid w:val="004279D7"/>
    <w:rsid w:val="00430540"/>
    <w:rsid w:val="00430946"/>
    <w:rsid w:val="00430ED9"/>
    <w:rsid w:val="0043112D"/>
    <w:rsid w:val="0043191A"/>
    <w:rsid w:val="004334DD"/>
    <w:rsid w:val="00433C59"/>
    <w:rsid w:val="00434902"/>
    <w:rsid w:val="00435FAD"/>
    <w:rsid w:val="00436904"/>
    <w:rsid w:val="00436A57"/>
    <w:rsid w:val="004372F3"/>
    <w:rsid w:val="00437BC9"/>
    <w:rsid w:val="00442197"/>
    <w:rsid w:val="0044263D"/>
    <w:rsid w:val="004435D1"/>
    <w:rsid w:val="0044417C"/>
    <w:rsid w:val="0044537C"/>
    <w:rsid w:val="00446FDF"/>
    <w:rsid w:val="004471BC"/>
    <w:rsid w:val="00447CDA"/>
    <w:rsid w:val="00451D93"/>
    <w:rsid w:val="00452267"/>
    <w:rsid w:val="00452B67"/>
    <w:rsid w:val="00453D99"/>
    <w:rsid w:val="00454F3C"/>
    <w:rsid w:val="00455E4A"/>
    <w:rsid w:val="004567EF"/>
    <w:rsid w:val="00457489"/>
    <w:rsid w:val="004609E3"/>
    <w:rsid w:val="00460A0B"/>
    <w:rsid w:val="004613F2"/>
    <w:rsid w:val="00461434"/>
    <w:rsid w:val="00461AEC"/>
    <w:rsid w:val="00463209"/>
    <w:rsid w:val="00463419"/>
    <w:rsid w:val="00464014"/>
    <w:rsid w:val="004640D7"/>
    <w:rsid w:val="004642E8"/>
    <w:rsid w:val="004656E7"/>
    <w:rsid w:val="00465BBB"/>
    <w:rsid w:val="00466F40"/>
    <w:rsid w:val="00467467"/>
    <w:rsid w:val="00473033"/>
    <w:rsid w:val="0047367D"/>
    <w:rsid w:val="00474782"/>
    <w:rsid w:val="0047483A"/>
    <w:rsid w:val="00474F1F"/>
    <w:rsid w:val="004758A8"/>
    <w:rsid w:val="00477D79"/>
    <w:rsid w:val="00477FE6"/>
    <w:rsid w:val="004817BF"/>
    <w:rsid w:val="00483080"/>
    <w:rsid w:val="00483414"/>
    <w:rsid w:val="004845B5"/>
    <w:rsid w:val="00485063"/>
    <w:rsid w:val="00485918"/>
    <w:rsid w:val="004864E1"/>
    <w:rsid w:val="00487890"/>
    <w:rsid w:val="00487D9C"/>
    <w:rsid w:val="00491077"/>
    <w:rsid w:val="004913A6"/>
    <w:rsid w:val="00492B51"/>
    <w:rsid w:val="0049377E"/>
    <w:rsid w:val="00493C44"/>
    <w:rsid w:val="00494F65"/>
    <w:rsid w:val="00496E8E"/>
    <w:rsid w:val="004A13A8"/>
    <w:rsid w:val="004A30B8"/>
    <w:rsid w:val="004A3763"/>
    <w:rsid w:val="004A4250"/>
    <w:rsid w:val="004A46E6"/>
    <w:rsid w:val="004A49CA"/>
    <w:rsid w:val="004A530B"/>
    <w:rsid w:val="004A594F"/>
    <w:rsid w:val="004A6256"/>
    <w:rsid w:val="004A7F10"/>
    <w:rsid w:val="004B1446"/>
    <w:rsid w:val="004B1F69"/>
    <w:rsid w:val="004B44AD"/>
    <w:rsid w:val="004B4F31"/>
    <w:rsid w:val="004B5972"/>
    <w:rsid w:val="004B5DAA"/>
    <w:rsid w:val="004B6847"/>
    <w:rsid w:val="004B684B"/>
    <w:rsid w:val="004C0B91"/>
    <w:rsid w:val="004C1D55"/>
    <w:rsid w:val="004C285B"/>
    <w:rsid w:val="004C334B"/>
    <w:rsid w:val="004C3F7E"/>
    <w:rsid w:val="004C41EB"/>
    <w:rsid w:val="004C435D"/>
    <w:rsid w:val="004C481F"/>
    <w:rsid w:val="004C5511"/>
    <w:rsid w:val="004C5F57"/>
    <w:rsid w:val="004D1557"/>
    <w:rsid w:val="004D1582"/>
    <w:rsid w:val="004D1D38"/>
    <w:rsid w:val="004D1EA8"/>
    <w:rsid w:val="004D340A"/>
    <w:rsid w:val="004D5D81"/>
    <w:rsid w:val="004E0A67"/>
    <w:rsid w:val="004E0D26"/>
    <w:rsid w:val="004E0F6D"/>
    <w:rsid w:val="004E1B2A"/>
    <w:rsid w:val="004E26EC"/>
    <w:rsid w:val="004E272B"/>
    <w:rsid w:val="004E28A7"/>
    <w:rsid w:val="004E2B34"/>
    <w:rsid w:val="004E2E78"/>
    <w:rsid w:val="004E4F95"/>
    <w:rsid w:val="004E5594"/>
    <w:rsid w:val="004E565F"/>
    <w:rsid w:val="004E6394"/>
    <w:rsid w:val="004E6B41"/>
    <w:rsid w:val="004E6C07"/>
    <w:rsid w:val="004E6FB6"/>
    <w:rsid w:val="004F064C"/>
    <w:rsid w:val="004F0E07"/>
    <w:rsid w:val="004F1CDF"/>
    <w:rsid w:val="004F3D41"/>
    <w:rsid w:val="004F4526"/>
    <w:rsid w:val="004F456F"/>
    <w:rsid w:val="004F4768"/>
    <w:rsid w:val="004F4DE0"/>
    <w:rsid w:val="004F5049"/>
    <w:rsid w:val="004F5CB2"/>
    <w:rsid w:val="004F5F56"/>
    <w:rsid w:val="004F671E"/>
    <w:rsid w:val="004F682B"/>
    <w:rsid w:val="004F6E5F"/>
    <w:rsid w:val="004F7070"/>
    <w:rsid w:val="004F7809"/>
    <w:rsid w:val="005010E9"/>
    <w:rsid w:val="00503D89"/>
    <w:rsid w:val="0050405E"/>
    <w:rsid w:val="00505669"/>
    <w:rsid w:val="00505D0E"/>
    <w:rsid w:val="00506039"/>
    <w:rsid w:val="0050749B"/>
    <w:rsid w:val="0050779D"/>
    <w:rsid w:val="00507CF4"/>
    <w:rsid w:val="0051068F"/>
    <w:rsid w:val="00510B9E"/>
    <w:rsid w:val="0051183E"/>
    <w:rsid w:val="005122E7"/>
    <w:rsid w:val="0051264C"/>
    <w:rsid w:val="00513513"/>
    <w:rsid w:val="0051418A"/>
    <w:rsid w:val="0051420D"/>
    <w:rsid w:val="00514741"/>
    <w:rsid w:val="00515B42"/>
    <w:rsid w:val="005170CD"/>
    <w:rsid w:val="005175D4"/>
    <w:rsid w:val="00517E65"/>
    <w:rsid w:val="005206EE"/>
    <w:rsid w:val="00520AD6"/>
    <w:rsid w:val="00520B9F"/>
    <w:rsid w:val="005219E8"/>
    <w:rsid w:val="00522793"/>
    <w:rsid w:val="00522DB6"/>
    <w:rsid w:val="00523142"/>
    <w:rsid w:val="005236C2"/>
    <w:rsid w:val="00525A7C"/>
    <w:rsid w:val="005265B9"/>
    <w:rsid w:val="00530D39"/>
    <w:rsid w:val="0053119B"/>
    <w:rsid w:val="005311F2"/>
    <w:rsid w:val="0053277A"/>
    <w:rsid w:val="00532F66"/>
    <w:rsid w:val="0053521C"/>
    <w:rsid w:val="00535DF4"/>
    <w:rsid w:val="005361A2"/>
    <w:rsid w:val="00536EF8"/>
    <w:rsid w:val="00537480"/>
    <w:rsid w:val="0053767E"/>
    <w:rsid w:val="00537ED8"/>
    <w:rsid w:val="00540075"/>
    <w:rsid w:val="00540357"/>
    <w:rsid w:val="00540C40"/>
    <w:rsid w:val="00543074"/>
    <w:rsid w:val="005439E8"/>
    <w:rsid w:val="00544791"/>
    <w:rsid w:val="00545288"/>
    <w:rsid w:val="00545F95"/>
    <w:rsid w:val="005468DF"/>
    <w:rsid w:val="00546B54"/>
    <w:rsid w:val="00546B55"/>
    <w:rsid w:val="00546CC5"/>
    <w:rsid w:val="00550908"/>
    <w:rsid w:val="00550DFA"/>
    <w:rsid w:val="0055189F"/>
    <w:rsid w:val="005518A4"/>
    <w:rsid w:val="005547BA"/>
    <w:rsid w:val="00555A7D"/>
    <w:rsid w:val="00555DF5"/>
    <w:rsid w:val="005565F9"/>
    <w:rsid w:val="00556A7A"/>
    <w:rsid w:val="00556B46"/>
    <w:rsid w:val="00556D62"/>
    <w:rsid w:val="005579C6"/>
    <w:rsid w:val="005606F7"/>
    <w:rsid w:val="00560855"/>
    <w:rsid w:val="00561BD7"/>
    <w:rsid w:val="00561D58"/>
    <w:rsid w:val="00561FCE"/>
    <w:rsid w:val="00562E18"/>
    <w:rsid w:val="00563ED7"/>
    <w:rsid w:val="005643EB"/>
    <w:rsid w:val="00565C00"/>
    <w:rsid w:val="00566D87"/>
    <w:rsid w:val="00570699"/>
    <w:rsid w:val="00570F75"/>
    <w:rsid w:val="0057210A"/>
    <w:rsid w:val="00573F52"/>
    <w:rsid w:val="00573F59"/>
    <w:rsid w:val="00574434"/>
    <w:rsid w:val="00574EE7"/>
    <w:rsid w:val="00575CED"/>
    <w:rsid w:val="00576137"/>
    <w:rsid w:val="005772C7"/>
    <w:rsid w:val="00577BFF"/>
    <w:rsid w:val="00580034"/>
    <w:rsid w:val="005804F2"/>
    <w:rsid w:val="00580DCF"/>
    <w:rsid w:val="00581E28"/>
    <w:rsid w:val="005820FE"/>
    <w:rsid w:val="005823AB"/>
    <w:rsid w:val="00582596"/>
    <w:rsid w:val="005825DA"/>
    <w:rsid w:val="005831BA"/>
    <w:rsid w:val="00586C61"/>
    <w:rsid w:val="00590D3A"/>
    <w:rsid w:val="00590E16"/>
    <w:rsid w:val="00591D19"/>
    <w:rsid w:val="00591EF1"/>
    <w:rsid w:val="005922D7"/>
    <w:rsid w:val="00593C34"/>
    <w:rsid w:val="005944F8"/>
    <w:rsid w:val="00594A75"/>
    <w:rsid w:val="0059576C"/>
    <w:rsid w:val="00595AAA"/>
    <w:rsid w:val="00595E67"/>
    <w:rsid w:val="00595FF4"/>
    <w:rsid w:val="00596814"/>
    <w:rsid w:val="00596E79"/>
    <w:rsid w:val="0059776E"/>
    <w:rsid w:val="005A00AC"/>
    <w:rsid w:val="005A0244"/>
    <w:rsid w:val="005A1764"/>
    <w:rsid w:val="005A190B"/>
    <w:rsid w:val="005A1C24"/>
    <w:rsid w:val="005A2AA6"/>
    <w:rsid w:val="005A39FA"/>
    <w:rsid w:val="005A3B74"/>
    <w:rsid w:val="005A5291"/>
    <w:rsid w:val="005A6202"/>
    <w:rsid w:val="005A6C89"/>
    <w:rsid w:val="005B130A"/>
    <w:rsid w:val="005B3752"/>
    <w:rsid w:val="005B40A3"/>
    <w:rsid w:val="005B4C39"/>
    <w:rsid w:val="005B5BA2"/>
    <w:rsid w:val="005B6761"/>
    <w:rsid w:val="005B6B97"/>
    <w:rsid w:val="005C0D0A"/>
    <w:rsid w:val="005C1D74"/>
    <w:rsid w:val="005C2E32"/>
    <w:rsid w:val="005C4127"/>
    <w:rsid w:val="005C415D"/>
    <w:rsid w:val="005C4DA8"/>
    <w:rsid w:val="005C5182"/>
    <w:rsid w:val="005C5224"/>
    <w:rsid w:val="005C69F1"/>
    <w:rsid w:val="005C6C2D"/>
    <w:rsid w:val="005C6CA1"/>
    <w:rsid w:val="005C7340"/>
    <w:rsid w:val="005C7659"/>
    <w:rsid w:val="005C77CC"/>
    <w:rsid w:val="005D004A"/>
    <w:rsid w:val="005D0B74"/>
    <w:rsid w:val="005D236B"/>
    <w:rsid w:val="005D2599"/>
    <w:rsid w:val="005D2D86"/>
    <w:rsid w:val="005D446F"/>
    <w:rsid w:val="005D499E"/>
    <w:rsid w:val="005E11DE"/>
    <w:rsid w:val="005E1BA9"/>
    <w:rsid w:val="005E1CFF"/>
    <w:rsid w:val="005E1E37"/>
    <w:rsid w:val="005E27D8"/>
    <w:rsid w:val="005E2A65"/>
    <w:rsid w:val="005E2AE9"/>
    <w:rsid w:val="005E34EF"/>
    <w:rsid w:val="005E3735"/>
    <w:rsid w:val="005E3F59"/>
    <w:rsid w:val="005E610D"/>
    <w:rsid w:val="005E61F5"/>
    <w:rsid w:val="005E64F7"/>
    <w:rsid w:val="005E680E"/>
    <w:rsid w:val="005F0642"/>
    <w:rsid w:val="005F08DA"/>
    <w:rsid w:val="005F0D3B"/>
    <w:rsid w:val="005F0E74"/>
    <w:rsid w:val="005F1100"/>
    <w:rsid w:val="005F20B5"/>
    <w:rsid w:val="005F23FF"/>
    <w:rsid w:val="005F254A"/>
    <w:rsid w:val="005F2BA2"/>
    <w:rsid w:val="005F48AA"/>
    <w:rsid w:val="005F4C88"/>
    <w:rsid w:val="005F64DB"/>
    <w:rsid w:val="005F6F61"/>
    <w:rsid w:val="005F728A"/>
    <w:rsid w:val="005F78C2"/>
    <w:rsid w:val="005F7B5F"/>
    <w:rsid w:val="00600996"/>
    <w:rsid w:val="00600A21"/>
    <w:rsid w:val="00602C5F"/>
    <w:rsid w:val="00603F3E"/>
    <w:rsid w:val="00603F50"/>
    <w:rsid w:val="00604C4C"/>
    <w:rsid w:val="00604ECD"/>
    <w:rsid w:val="006051A7"/>
    <w:rsid w:val="00605447"/>
    <w:rsid w:val="0060617F"/>
    <w:rsid w:val="0060685D"/>
    <w:rsid w:val="00607BAF"/>
    <w:rsid w:val="00607FE6"/>
    <w:rsid w:val="00610A71"/>
    <w:rsid w:val="00611068"/>
    <w:rsid w:val="006111F9"/>
    <w:rsid w:val="006119DF"/>
    <w:rsid w:val="00611AFF"/>
    <w:rsid w:val="006121B5"/>
    <w:rsid w:val="00612AB3"/>
    <w:rsid w:val="00612E09"/>
    <w:rsid w:val="006142C6"/>
    <w:rsid w:val="0061459B"/>
    <w:rsid w:val="00615265"/>
    <w:rsid w:val="00615A65"/>
    <w:rsid w:val="00615EA0"/>
    <w:rsid w:val="00616632"/>
    <w:rsid w:val="00616CC5"/>
    <w:rsid w:val="00617824"/>
    <w:rsid w:val="00620346"/>
    <w:rsid w:val="006207BB"/>
    <w:rsid w:val="0062116A"/>
    <w:rsid w:val="0062121C"/>
    <w:rsid w:val="00621606"/>
    <w:rsid w:val="00621DDD"/>
    <w:rsid w:val="00621EC6"/>
    <w:rsid w:val="006239DD"/>
    <w:rsid w:val="00625694"/>
    <w:rsid w:val="00626DF0"/>
    <w:rsid w:val="00627CD9"/>
    <w:rsid w:val="00630D77"/>
    <w:rsid w:val="00631056"/>
    <w:rsid w:val="00631964"/>
    <w:rsid w:val="00632943"/>
    <w:rsid w:val="00633EA4"/>
    <w:rsid w:val="00633F69"/>
    <w:rsid w:val="006345A3"/>
    <w:rsid w:val="006346F3"/>
    <w:rsid w:val="00634B68"/>
    <w:rsid w:val="00635427"/>
    <w:rsid w:val="00636544"/>
    <w:rsid w:val="006376D0"/>
    <w:rsid w:val="00637C93"/>
    <w:rsid w:val="006410E7"/>
    <w:rsid w:val="00641258"/>
    <w:rsid w:val="00642B8F"/>
    <w:rsid w:val="006456AD"/>
    <w:rsid w:val="00647045"/>
    <w:rsid w:val="00650041"/>
    <w:rsid w:val="00652A84"/>
    <w:rsid w:val="00652FEA"/>
    <w:rsid w:val="00653596"/>
    <w:rsid w:val="00653A33"/>
    <w:rsid w:val="00655187"/>
    <w:rsid w:val="00656075"/>
    <w:rsid w:val="00656904"/>
    <w:rsid w:val="00656C51"/>
    <w:rsid w:val="00656F2E"/>
    <w:rsid w:val="006574B7"/>
    <w:rsid w:val="0065778D"/>
    <w:rsid w:val="00660A53"/>
    <w:rsid w:val="00660C96"/>
    <w:rsid w:val="00661C15"/>
    <w:rsid w:val="006626DA"/>
    <w:rsid w:val="00663229"/>
    <w:rsid w:val="0066533F"/>
    <w:rsid w:val="00666EBB"/>
    <w:rsid w:val="006705A0"/>
    <w:rsid w:val="00670B97"/>
    <w:rsid w:val="0067170E"/>
    <w:rsid w:val="00671C54"/>
    <w:rsid w:val="00671F7B"/>
    <w:rsid w:val="00671FB0"/>
    <w:rsid w:val="006728A3"/>
    <w:rsid w:val="00673982"/>
    <w:rsid w:val="0067648A"/>
    <w:rsid w:val="00680354"/>
    <w:rsid w:val="00680B45"/>
    <w:rsid w:val="0068156A"/>
    <w:rsid w:val="00682A4F"/>
    <w:rsid w:val="0068330F"/>
    <w:rsid w:val="00683356"/>
    <w:rsid w:val="0068346D"/>
    <w:rsid w:val="00683FD0"/>
    <w:rsid w:val="00685247"/>
    <w:rsid w:val="00686904"/>
    <w:rsid w:val="00686C76"/>
    <w:rsid w:val="00686DDB"/>
    <w:rsid w:val="0068728D"/>
    <w:rsid w:val="0068783A"/>
    <w:rsid w:val="0069015C"/>
    <w:rsid w:val="0069271E"/>
    <w:rsid w:val="00692BEA"/>
    <w:rsid w:val="00694D39"/>
    <w:rsid w:val="00695168"/>
    <w:rsid w:val="00695385"/>
    <w:rsid w:val="00695C11"/>
    <w:rsid w:val="00696EA4"/>
    <w:rsid w:val="006A219D"/>
    <w:rsid w:val="006A2E8D"/>
    <w:rsid w:val="006A35EF"/>
    <w:rsid w:val="006A3B3F"/>
    <w:rsid w:val="006A4EA4"/>
    <w:rsid w:val="006A6FD0"/>
    <w:rsid w:val="006A7068"/>
    <w:rsid w:val="006B196A"/>
    <w:rsid w:val="006B212F"/>
    <w:rsid w:val="006B2AE1"/>
    <w:rsid w:val="006B2D5D"/>
    <w:rsid w:val="006B2FD7"/>
    <w:rsid w:val="006B3903"/>
    <w:rsid w:val="006B3D4B"/>
    <w:rsid w:val="006B421B"/>
    <w:rsid w:val="006B6189"/>
    <w:rsid w:val="006B6E46"/>
    <w:rsid w:val="006B78B4"/>
    <w:rsid w:val="006B7A01"/>
    <w:rsid w:val="006B7FA7"/>
    <w:rsid w:val="006C13D3"/>
    <w:rsid w:val="006C2265"/>
    <w:rsid w:val="006C364C"/>
    <w:rsid w:val="006C3752"/>
    <w:rsid w:val="006C3C12"/>
    <w:rsid w:val="006C52CB"/>
    <w:rsid w:val="006C5403"/>
    <w:rsid w:val="006C5480"/>
    <w:rsid w:val="006C64B1"/>
    <w:rsid w:val="006C6C1A"/>
    <w:rsid w:val="006C6C37"/>
    <w:rsid w:val="006C71C6"/>
    <w:rsid w:val="006C7346"/>
    <w:rsid w:val="006C761C"/>
    <w:rsid w:val="006C78F9"/>
    <w:rsid w:val="006D0AF2"/>
    <w:rsid w:val="006D0C0E"/>
    <w:rsid w:val="006D1C4E"/>
    <w:rsid w:val="006D4B54"/>
    <w:rsid w:val="006D4DC9"/>
    <w:rsid w:val="006D4EAF"/>
    <w:rsid w:val="006D577D"/>
    <w:rsid w:val="006D6E8F"/>
    <w:rsid w:val="006D75F4"/>
    <w:rsid w:val="006E06A8"/>
    <w:rsid w:val="006E0B4D"/>
    <w:rsid w:val="006E2033"/>
    <w:rsid w:val="006E203A"/>
    <w:rsid w:val="006E3537"/>
    <w:rsid w:val="006E3EDF"/>
    <w:rsid w:val="006E549C"/>
    <w:rsid w:val="006E55D4"/>
    <w:rsid w:val="006E587C"/>
    <w:rsid w:val="006E691B"/>
    <w:rsid w:val="006E7089"/>
    <w:rsid w:val="006F1E65"/>
    <w:rsid w:val="006F21A7"/>
    <w:rsid w:val="006F2A05"/>
    <w:rsid w:val="006F3F50"/>
    <w:rsid w:val="006F3FAF"/>
    <w:rsid w:val="006F483C"/>
    <w:rsid w:val="006F4977"/>
    <w:rsid w:val="006F4CD3"/>
    <w:rsid w:val="006F6F58"/>
    <w:rsid w:val="006F72AA"/>
    <w:rsid w:val="006F72F7"/>
    <w:rsid w:val="007000FA"/>
    <w:rsid w:val="007003F8"/>
    <w:rsid w:val="00700516"/>
    <w:rsid w:val="00700954"/>
    <w:rsid w:val="00701232"/>
    <w:rsid w:val="0070193C"/>
    <w:rsid w:val="00701B7E"/>
    <w:rsid w:val="0070393B"/>
    <w:rsid w:val="00703ABC"/>
    <w:rsid w:val="00703D0F"/>
    <w:rsid w:val="00703E5B"/>
    <w:rsid w:val="00703EDC"/>
    <w:rsid w:val="00705131"/>
    <w:rsid w:val="00706BF2"/>
    <w:rsid w:val="0070708B"/>
    <w:rsid w:val="00707527"/>
    <w:rsid w:val="007076CD"/>
    <w:rsid w:val="00710861"/>
    <w:rsid w:val="00710C1C"/>
    <w:rsid w:val="007112AE"/>
    <w:rsid w:val="0071324D"/>
    <w:rsid w:val="0071327A"/>
    <w:rsid w:val="00713CDE"/>
    <w:rsid w:val="00713F3E"/>
    <w:rsid w:val="007150C7"/>
    <w:rsid w:val="00715140"/>
    <w:rsid w:val="0071617C"/>
    <w:rsid w:val="00716328"/>
    <w:rsid w:val="00721390"/>
    <w:rsid w:val="00721C51"/>
    <w:rsid w:val="00723B13"/>
    <w:rsid w:val="00724939"/>
    <w:rsid w:val="00724E45"/>
    <w:rsid w:val="0072713D"/>
    <w:rsid w:val="0072742C"/>
    <w:rsid w:val="00727FB5"/>
    <w:rsid w:val="007315A8"/>
    <w:rsid w:val="00731602"/>
    <w:rsid w:val="00731B4A"/>
    <w:rsid w:val="00732508"/>
    <w:rsid w:val="00732F72"/>
    <w:rsid w:val="00732FCE"/>
    <w:rsid w:val="007340E6"/>
    <w:rsid w:val="00735AF1"/>
    <w:rsid w:val="007368F4"/>
    <w:rsid w:val="00742F0C"/>
    <w:rsid w:val="00743E0C"/>
    <w:rsid w:val="00744280"/>
    <w:rsid w:val="00744324"/>
    <w:rsid w:val="007445B2"/>
    <w:rsid w:val="00744A6D"/>
    <w:rsid w:val="00750465"/>
    <w:rsid w:val="007507E6"/>
    <w:rsid w:val="00750F9F"/>
    <w:rsid w:val="0075104D"/>
    <w:rsid w:val="00751E55"/>
    <w:rsid w:val="00753F98"/>
    <w:rsid w:val="00755AD4"/>
    <w:rsid w:val="00756324"/>
    <w:rsid w:val="00756538"/>
    <w:rsid w:val="007571E4"/>
    <w:rsid w:val="0076051A"/>
    <w:rsid w:val="0076062A"/>
    <w:rsid w:val="00761392"/>
    <w:rsid w:val="00761A3C"/>
    <w:rsid w:val="00761CAB"/>
    <w:rsid w:val="00761FA5"/>
    <w:rsid w:val="00762DC5"/>
    <w:rsid w:val="00764293"/>
    <w:rsid w:val="007642B0"/>
    <w:rsid w:val="0076624D"/>
    <w:rsid w:val="007668B4"/>
    <w:rsid w:val="00767911"/>
    <w:rsid w:val="00767F0D"/>
    <w:rsid w:val="00770D02"/>
    <w:rsid w:val="00771E4D"/>
    <w:rsid w:val="007727ED"/>
    <w:rsid w:val="00773712"/>
    <w:rsid w:val="00773DC4"/>
    <w:rsid w:val="0077515E"/>
    <w:rsid w:val="00775353"/>
    <w:rsid w:val="00775744"/>
    <w:rsid w:val="00775E6E"/>
    <w:rsid w:val="00776395"/>
    <w:rsid w:val="0078194B"/>
    <w:rsid w:val="0078209B"/>
    <w:rsid w:val="00782536"/>
    <w:rsid w:val="007828FE"/>
    <w:rsid w:val="00782FAC"/>
    <w:rsid w:val="00784925"/>
    <w:rsid w:val="00784A1D"/>
    <w:rsid w:val="00785AEC"/>
    <w:rsid w:val="007862FC"/>
    <w:rsid w:val="00786A0C"/>
    <w:rsid w:val="00786D18"/>
    <w:rsid w:val="007870F8"/>
    <w:rsid w:val="0078761F"/>
    <w:rsid w:val="00791336"/>
    <w:rsid w:val="00791E4C"/>
    <w:rsid w:val="00792420"/>
    <w:rsid w:val="00792691"/>
    <w:rsid w:val="007927AA"/>
    <w:rsid w:val="00793422"/>
    <w:rsid w:val="0079350C"/>
    <w:rsid w:val="00794FD8"/>
    <w:rsid w:val="00795071"/>
    <w:rsid w:val="00797255"/>
    <w:rsid w:val="00797580"/>
    <w:rsid w:val="00797D9F"/>
    <w:rsid w:val="007A0178"/>
    <w:rsid w:val="007A1C22"/>
    <w:rsid w:val="007A1C77"/>
    <w:rsid w:val="007A3706"/>
    <w:rsid w:val="007A3E55"/>
    <w:rsid w:val="007A45A9"/>
    <w:rsid w:val="007A55A4"/>
    <w:rsid w:val="007A7810"/>
    <w:rsid w:val="007A7FF9"/>
    <w:rsid w:val="007B018A"/>
    <w:rsid w:val="007B05A6"/>
    <w:rsid w:val="007B1920"/>
    <w:rsid w:val="007B1BCC"/>
    <w:rsid w:val="007B245C"/>
    <w:rsid w:val="007B3325"/>
    <w:rsid w:val="007B38E5"/>
    <w:rsid w:val="007B4890"/>
    <w:rsid w:val="007B5C48"/>
    <w:rsid w:val="007C0707"/>
    <w:rsid w:val="007C4B7C"/>
    <w:rsid w:val="007C50B4"/>
    <w:rsid w:val="007C5F88"/>
    <w:rsid w:val="007C7FA9"/>
    <w:rsid w:val="007D027E"/>
    <w:rsid w:val="007D04D8"/>
    <w:rsid w:val="007D074C"/>
    <w:rsid w:val="007D0846"/>
    <w:rsid w:val="007D12FF"/>
    <w:rsid w:val="007D1448"/>
    <w:rsid w:val="007D14D5"/>
    <w:rsid w:val="007D1759"/>
    <w:rsid w:val="007D22E8"/>
    <w:rsid w:val="007D2FCE"/>
    <w:rsid w:val="007D3180"/>
    <w:rsid w:val="007D4617"/>
    <w:rsid w:val="007D5270"/>
    <w:rsid w:val="007D657F"/>
    <w:rsid w:val="007D701E"/>
    <w:rsid w:val="007D7875"/>
    <w:rsid w:val="007E1DE7"/>
    <w:rsid w:val="007E2A4C"/>
    <w:rsid w:val="007E5490"/>
    <w:rsid w:val="007E5507"/>
    <w:rsid w:val="007E58BA"/>
    <w:rsid w:val="007E7357"/>
    <w:rsid w:val="007E7A43"/>
    <w:rsid w:val="007E7C86"/>
    <w:rsid w:val="007F007F"/>
    <w:rsid w:val="007F0122"/>
    <w:rsid w:val="007F3647"/>
    <w:rsid w:val="007F3A29"/>
    <w:rsid w:val="007F485B"/>
    <w:rsid w:val="007F49DE"/>
    <w:rsid w:val="007F5123"/>
    <w:rsid w:val="007F5BC3"/>
    <w:rsid w:val="007F6367"/>
    <w:rsid w:val="007F66AC"/>
    <w:rsid w:val="007F7D34"/>
    <w:rsid w:val="007F7EEB"/>
    <w:rsid w:val="00800566"/>
    <w:rsid w:val="0080085E"/>
    <w:rsid w:val="0080119E"/>
    <w:rsid w:val="008025E2"/>
    <w:rsid w:val="00802FC2"/>
    <w:rsid w:val="008030C4"/>
    <w:rsid w:val="00803A34"/>
    <w:rsid w:val="00803AB6"/>
    <w:rsid w:val="00803CEF"/>
    <w:rsid w:val="00804E16"/>
    <w:rsid w:val="00805077"/>
    <w:rsid w:val="0080546B"/>
    <w:rsid w:val="008065BC"/>
    <w:rsid w:val="00806CC3"/>
    <w:rsid w:val="00810A6E"/>
    <w:rsid w:val="0081163B"/>
    <w:rsid w:val="00811D1F"/>
    <w:rsid w:val="0081271B"/>
    <w:rsid w:val="00812909"/>
    <w:rsid w:val="00813D75"/>
    <w:rsid w:val="00814CD6"/>
    <w:rsid w:val="00816D18"/>
    <w:rsid w:val="00816DAB"/>
    <w:rsid w:val="0081763C"/>
    <w:rsid w:val="00820174"/>
    <w:rsid w:val="00820DAC"/>
    <w:rsid w:val="0082471C"/>
    <w:rsid w:val="00824ABF"/>
    <w:rsid w:val="0082647C"/>
    <w:rsid w:val="00826EF9"/>
    <w:rsid w:val="00827875"/>
    <w:rsid w:val="00831DC4"/>
    <w:rsid w:val="00832FF6"/>
    <w:rsid w:val="0083300F"/>
    <w:rsid w:val="00833EB5"/>
    <w:rsid w:val="00834314"/>
    <w:rsid w:val="008348E5"/>
    <w:rsid w:val="008356AB"/>
    <w:rsid w:val="0083585C"/>
    <w:rsid w:val="00835C8F"/>
    <w:rsid w:val="008378B5"/>
    <w:rsid w:val="0084017C"/>
    <w:rsid w:val="0084109D"/>
    <w:rsid w:val="0084244B"/>
    <w:rsid w:val="0084259F"/>
    <w:rsid w:val="008435E5"/>
    <w:rsid w:val="008438CC"/>
    <w:rsid w:val="00844605"/>
    <w:rsid w:val="00844879"/>
    <w:rsid w:val="008469A8"/>
    <w:rsid w:val="00846A49"/>
    <w:rsid w:val="008519F4"/>
    <w:rsid w:val="00853D90"/>
    <w:rsid w:val="0085501B"/>
    <w:rsid w:val="00855BA9"/>
    <w:rsid w:val="00855E4F"/>
    <w:rsid w:val="00856879"/>
    <w:rsid w:val="008611BC"/>
    <w:rsid w:val="0086188B"/>
    <w:rsid w:val="00862AF3"/>
    <w:rsid w:val="00862E3F"/>
    <w:rsid w:val="00863327"/>
    <w:rsid w:val="008633F9"/>
    <w:rsid w:val="00864BDF"/>
    <w:rsid w:val="00865883"/>
    <w:rsid w:val="0086671C"/>
    <w:rsid w:val="0087036C"/>
    <w:rsid w:val="008711C1"/>
    <w:rsid w:val="00871485"/>
    <w:rsid w:val="008719F7"/>
    <w:rsid w:val="00872B9E"/>
    <w:rsid w:val="00873B0E"/>
    <w:rsid w:val="008741A0"/>
    <w:rsid w:val="0087493A"/>
    <w:rsid w:val="00875A8D"/>
    <w:rsid w:val="0087621B"/>
    <w:rsid w:val="0087706A"/>
    <w:rsid w:val="008777FB"/>
    <w:rsid w:val="00882C14"/>
    <w:rsid w:val="00884498"/>
    <w:rsid w:val="00886152"/>
    <w:rsid w:val="008861BB"/>
    <w:rsid w:val="008864F1"/>
    <w:rsid w:val="0088671E"/>
    <w:rsid w:val="00886AE0"/>
    <w:rsid w:val="00886D5E"/>
    <w:rsid w:val="008872FB"/>
    <w:rsid w:val="008876D7"/>
    <w:rsid w:val="0089053E"/>
    <w:rsid w:val="008907B4"/>
    <w:rsid w:val="008916FF"/>
    <w:rsid w:val="00892107"/>
    <w:rsid w:val="008924A8"/>
    <w:rsid w:val="008934C4"/>
    <w:rsid w:val="00893F16"/>
    <w:rsid w:val="00894060"/>
    <w:rsid w:val="00895015"/>
    <w:rsid w:val="008955FA"/>
    <w:rsid w:val="00895F27"/>
    <w:rsid w:val="008961C1"/>
    <w:rsid w:val="00896BF3"/>
    <w:rsid w:val="0089703A"/>
    <w:rsid w:val="008A10AB"/>
    <w:rsid w:val="008A26BB"/>
    <w:rsid w:val="008A3118"/>
    <w:rsid w:val="008A31E0"/>
    <w:rsid w:val="008A320A"/>
    <w:rsid w:val="008A4899"/>
    <w:rsid w:val="008A5043"/>
    <w:rsid w:val="008A5A26"/>
    <w:rsid w:val="008A5C6E"/>
    <w:rsid w:val="008A6824"/>
    <w:rsid w:val="008A737C"/>
    <w:rsid w:val="008A7E27"/>
    <w:rsid w:val="008B2466"/>
    <w:rsid w:val="008B3350"/>
    <w:rsid w:val="008B3E17"/>
    <w:rsid w:val="008B4A69"/>
    <w:rsid w:val="008B60DB"/>
    <w:rsid w:val="008B6E42"/>
    <w:rsid w:val="008C0DC5"/>
    <w:rsid w:val="008C53EB"/>
    <w:rsid w:val="008C56DB"/>
    <w:rsid w:val="008C5FF1"/>
    <w:rsid w:val="008C6AFF"/>
    <w:rsid w:val="008C6F56"/>
    <w:rsid w:val="008C737A"/>
    <w:rsid w:val="008C7553"/>
    <w:rsid w:val="008D10BF"/>
    <w:rsid w:val="008D11D7"/>
    <w:rsid w:val="008D1D36"/>
    <w:rsid w:val="008D1EE5"/>
    <w:rsid w:val="008D21EB"/>
    <w:rsid w:val="008D22CC"/>
    <w:rsid w:val="008D33D4"/>
    <w:rsid w:val="008D3587"/>
    <w:rsid w:val="008D37BA"/>
    <w:rsid w:val="008D3D2D"/>
    <w:rsid w:val="008D5156"/>
    <w:rsid w:val="008D51A3"/>
    <w:rsid w:val="008D5913"/>
    <w:rsid w:val="008D5C62"/>
    <w:rsid w:val="008D6862"/>
    <w:rsid w:val="008D6C6E"/>
    <w:rsid w:val="008E1048"/>
    <w:rsid w:val="008E1CA9"/>
    <w:rsid w:val="008E1D29"/>
    <w:rsid w:val="008E2B58"/>
    <w:rsid w:val="008E2D5F"/>
    <w:rsid w:val="008E36A6"/>
    <w:rsid w:val="008E43FB"/>
    <w:rsid w:val="008E59C0"/>
    <w:rsid w:val="008E7460"/>
    <w:rsid w:val="008E7D8E"/>
    <w:rsid w:val="008E7E13"/>
    <w:rsid w:val="008F14CC"/>
    <w:rsid w:val="008F1C57"/>
    <w:rsid w:val="008F3025"/>
    <w:rsid w:val="008F4814"/>
    <w:rsid w:val="008F552E"/>
    <w:rsid w:val="008F7C16"/>
    <w:rsid w:val="008F7D28"/>
    <w:rsid w:val="00900FEA"/>
    <w:rsid w:val="00902028"/>
    <w:rsid w:val="00902179"/>
    <w:rsid w:val="009032E7"/>
    <w:rsid w:val="00904BDB"/>
    <w:rsid w:val="0090601E"/>
    <w:rsid w:val="009063A6"/>
    <w:rsid w:val="00906492"/>
    <w:rsid w:val="00906890"/>
    <w:rsid w:val="0091035E"/>
    <w:rsid w:val="00910C6C"/>
    <w:rsid w:val="00911532"/>
    <w:rsid w:val="00912134"/>
    <w:rsid w:val="00913778"/>
    <w:rsid w:val="00913E81"/>
    <w:rsid w:val="00915B69"/>
    <w:rsid w:val="00915CC9"/>
    <w:rsid w:val="00915FC2"/>
    <w:rsid w:val="0091643A"/>
    <w:rsid w:val="00916A04"/>
    <w:rsid w:val="0091712B"/>
    <w:rsid w:val="00920741"/>
    <w:rsid w:val="00920CD4"/>
    <w:rsid w:val="00920DB8"/>
    <w:rsid w:val="00921377"/>
    <w:rsid w:val="00922343"/>
    <w:rsid w:val="00922752"/>
    <w:rsid w:val="00924FAB"/>
    <w:rsid w:val="00926E39"/>
    <w:rsid w:val="00926F04"/>
    <w:rsid w:val="009277E1"/>
    <w:rsid w:val="0092786B"/>
    <w:rsid w:val="009306D3"/>
    <w:rsid w:val="00930F2F"/>
    <w:rsid w:val="00931331"/>
    <w:rsid w:val="00932296"/>
    <w:rsid w:val="009324FF"/>
    <w:rsid w:val="00932520"/>
    <w:rsid w:val="00935070"/>
    <w:rsid w:val="00936323"/>
    <w:rsid w:val="009370A8"/>
    <w:rsid w:val="009407ED"/>
    <w:rsid w:val="00940BAE"/>
    <w:rsid w:val="00941BAF"/>
    <w:rsid w:val="00941E11"/>
    <w:rsid w:val="009437DB"/>
    <w:rsid w:val="00943DFB"/>
    <w:rsid w:val="00944B0F"/>
    <w:rsid w:val="00944E9C"/>
    <w:rsid w:val="00944FCA"/>
    <w:rsid w:val="009455EA"/>
    <w:rsid w:val="0094574F"/>
    <w:rsid w:val="00945A54"/>
    <w:rsid w:val="009461B8"/>
    <w:rsid w:val="00946D0D"/>
    <w:rsid w:val="00947DB2"/>
    <w:rsid w:val="00950120"/>
    <w:rsid w:val="00950425"/>
    <w:rsid w:val="00950FA5"/>
    <w:rsid w:val="0095244E"/>
    <w:rsid w:val="00953291"/>
    <w:rsid w:val="0095392C"/>
    <w:rsid w:val="009548C5"/>
    <w:rsid w:val="00954CCC"/>
    <w:rsid w:val="00957012"/>
    <w:rsid w:val="0095721B"/>
    <w:rsid w:val="00957648"/>
    <w:rsid w:val="00957D50"/>
    <w:rsid w:val="0096138A"/>
    <w:rsid w:val="00961D03"/>
    <w:rsid w:val="00962E56"/>
    <w:rsid w:val="00962F0E"/>
    <w:rsid w:val="00963EE1"/>
    <w:rsid w:val="00964517"/>
    <w:rsid w:val="0096530F"/>
    <w:rsid w:val="009658CD"/>
    <w:rsid w:val="00965D03"/>
    <w:rsid w:val="009665B1"/>
    <w:rsid w:val="009672FF"/>
    <w:rsid w:val="009673DF"/>
    <w:rsid w:val="00971D9F"/>
    <w:rsid w:val="00972837"/>
    <w:rsid w:val="00973962"/>
    <w:rsid w:val="00975C34"/>
    <w:rsid w:val="00977645"/>
    <w:rsid w:val="009824ED"/>
    <w:rsid w:val="00984183"/>
    <w:rsid w:val="00985C54"/>
    <w:rsid w:val="009874B6"/>
    <w:rsid w:val="00987F40"/>
    <w:rsid w:val="00990E70"/>
    <w:rsid w:val="00992051"/>
    <w:rsid w:val="00994194"/>
    <w:rsid w:val="00994429"/>
    <w:rsid w:val="009964B6"/>
    <w:rsid w:val="00996C25"/>
    <w:rsid w:val="00997A43"/>
    <w:rsid w:val="00997BE1"/>
    <w:rsid w:val="009A004E"/>
    <w:rsid w:val="009A12CD"/>
    <w:rsid w:val="009A1A70"/>
    <w:rsid w:val="009A27B8"/>
    <w:rsid w:val="009A2932"/>
    <w:rsid w:val="009A2F9B"/>
    <w:rsid w:val="009A2FB3"/>
    <w:rsid w:val="009A3E95"/>
    <w:rsid w:val="009A4180"/>
    <w:rsid w:val="009A49ED"/>
    <w:rsid w:val="009A4A8B"/>
    <w:rsid w:val="009A5F1F"/>
    <w:rsid w:val="009A66C1"/>
    <w:rsid w:val="009B1E3C"/>
    <w:rsid w:val="009B2123"/>
    <w:rsid w:val="009B2723"/>
    <w:rsid w:val="009B28C1"/>
    <w:rsid w:val="009B4A2B"/>
    <w:rsid w:val="009B5450"/>
    <w:rsid w:val="009C0C49"/>
    <w:rsid w:val="009C1349"/>
    <w:rsid w:val="009C1590"/>
    <w:rsid w:val="009C1BD2"/>
    <w:rsid w:val="009C288B"/>
    <w:rsid w:val="009C3733"/>
    <w:rsid w:val="009C40CA"/>
    <w:rsid w:val="009C4AD6"/>
    <w:rsid w:val="009C4CEA"/>
    <w:rsid w:val="009C6322"/>
    <w:rsid w:val="009C697C"/>
    <w:rsid w:val="009C6ECE"/>
    <w:rsid w:val="009C77DE"/>
    <w:rsid w:val="009D1D11"/>
    <w:rsid w:val="009D2A0F"/>
    <w:rsid w:val="009D414F"/>
    <w:rsid w:val="009D630F"/>
    <w:rsid w:val="009E0B7E"/>
    <w:rsid w:val="009E1325"/>
    <w:rsid w:val="009E1AB9"/>
    <w:rsid w:val="009E2147"/>
    <w:rsid w:val="009E2182"/>
    <w:rsid w:val="009E2CBC"/>
    <w:rsid w:val="009E2EFF"/>
    <w:rsid w:val="009E35F1"/>
    <w:rsid w:val="009E3CAD"/>
    <w:rsid w:val="009E3F47"/>
    <w:rsid w:val="009E44AC"/>
    <w:rsid w:val="009E4E1E"/>
    <w:rsid w:val="009E515B"/>
    <w:rsid w:val="009E58F0"/>
    <w:rsid w:val="009E6AA5"/>
    <w:rsid w:val="009E7689"/>
    <w:rsid w:val="009F05AF"/>
    <w:rsid w:val="009F0954"/>
    <w:rsid w:val="009F0FA4"/>
    <w:rsid w:val="009F2AE8"/>
    <w:rsid w:val="009F2E32"/>
    <w:rsid w:val="009F345B"/>
    <w:rsid w:val="009F37E9"/>
    <w:rsid w:val="009F3E28"/>
    <w:rsid w:val="009F4024"/>
    <w:rsid w:val="009F47E7"/>
    <w:rsid w:val="009F4962"/>
    <w:rsid w:val="009F4B93"/>
    <w:rsid w:val="009F5591"/>
    <w:rsid w:val="009F76B1"/>
    <w:rsid w:val="009F7A6E"/>
    <w:rsid w:val="00A00295"/>
    <w:rsid w:val="00A024C5"/>
    <w:rsid w:val="00A02E12"/>
    <w:rsid w:val="00A031DF"/>
    <w:rsid w:val="00A049BE"/>
    <w:rsid w:val="00A04B41"/>
    <w:rsid w:val="00A05471"/>
    <w:rsid w:val="00A05D65"/>
    <w:rsid w:val="00A06313"/>
    <w:rsid w:val="00A065F2"/>
    <w:rsid w:val="00A075BA"/>
    <w:rsid w:val="00A079DB"/>
    <w:rsid w:val="00A10B0E"/>
    <w:rsid w:val="00A114F7"/>
    <w:rsid w:val="00A11577"/>
    <w:rsid w:val="00A134CD"/>
    <w:rsid w:val="00A13951"/>
    <w:rsid w:val="00A150D3"/>
    <w:rsid w:val="00A1527A"/>
    <w:rsid w:val="00A15C0E"/>
    <w:rsid w:val="00A16198"/>
    <w:rsid w:val="00A17FA3"/>
    <w:rsid w:val="00A20C1E"/>
    <w:rsid w:val="00A20C46"/>
    <w:rsid w:val="00A21107"/>
    <w:rsid w:val="00A21759"/>
    <w:rsid w:val="00A21A6D"/>
    <w:rsid w:val="00A21BBB"/>
    <w:rsid w:val="00A22CF8"/>
    <w:rsid w:val="00A230FF"/>
    <w:rsid w:val="00A238E7"/>
    <w:rsid w:val="00A247E0"/>
    <w:rsid w:val="00A24951"/>
    <w:rsid w:val="00A24D34"/>
    <w:rsid w:val="00A24E62"/>
    <w:rsid w:val="00A26763"/>
    <w:rsid w:val="00A26DE6"/>
    <w:rsid w:val="00A27AEA"/>
    <w:rsid w:val="00A302C2"/>
    <w:rsid w:val="00A30978"/>
    <w:rsid w:val="00A30F97"/>
    <w:rsid w:val="00A32E2C"/>
    <w:rsid w:val="00A34347"/>
    <w:rsid w:val="00A3499B"/>
    <w:rsid w:val="00A34EB0"/>
    <w:rsid w:val="00A3541F"/>
    <w:rsid w:val="00A36E6E"/>
    <w:rsid w:val="00A37C84"/>
    <w:rsid w:val="00A37CBE"/>
    <w:rsid w:val="00A411F8"/>
    <w:rsid w:val="00A4127A"/>
    <w:rsid w:val="00A42E7C"/>
    <w:rsid w:val="00A43E33"/>
    <w:rsid w:val="00A445AA"/>
    <w:rsid w:val="00A4534C"/>
    <w:rsid w:val="00A46C70"/>
    <w:rsid w:val="00A50E85"/>
    <w:rsid w:val="00A51CD9"/>
    <w:rsid w:val="00A54D7A"/>
    <w:rsid w:val="00A5648F"/>
    <w:rsid w:val="00A564EA"/>
    <w:rsid w:val="00A57378"/>
    <w:rsid w:val="00A62274"/>
    <w:rsid w:val="00A62955"/>
    <w:rsid w:val="00A62AE0"/>
    <w:rsid w:val="00A63BAD"/>
    <w:rsid w:val="00A64522"/>
    <w:rsid w:val="00A64D0D"/>
    <w:rsid w:val="00A64D41"/>
    <w:rsid w:val="00A65A8B"/>
    <w:rsid w:val="00A65C64"/>
    <w:rsid w:val="00A663E4"/>
    <w:rsid w:val="00A665CF"/>
    <w:rsid w:val="00A666F0"/>
    <w:rsid w:val="00A6783E"/>
    <w:rsid w:val="00A67F4C"/>
    <w:rsid w:val="00A70301"/>
    <w:rsid w:val="00A70B3D"/>
    <w:rsid w:val="00A7135E"/>
    <w:rsid w:val="00A71901"/>
    <w:rsid w:val="00A71A91"/>
    <w:rsid w:val="00A7267C"/>
    <w:rsid w:val="00A73332"/>
    <w:rsid w:val="00A7397A"/>
    <w:rsid w:val="00A747DC"/>
    <w:rsid w:val="00A7645E"/>
    <w:rsid w:val="00A77E85"/>
    <w:rsid w:val="00A80351"/>
    <w:rsid w:val="00A8070D"/>
    <w:rsid w:val="00A80DD0"/>
    <w:rsid w:val="00A81C95"/>
    <w:rsid w:val="00A81DE2"/>
    <w:rsid w:val="00A822A3"/>
    <w:rsid w:val="00A832B5"/>
    <w:rsid w:val="00A8351E"/>
    <w:rsid w:val="00A845F1"/>
    <w:rsid w:val="00A852FF"/>
    <w:rsid w:val="00A86245"/>
    <w:rsid w:val="00A86392"/>
    <w:rsid w:val="00A87CB6"/>
    <w:rsid w:val="00A90EBC"/>
    <w:rsid w:val="00A91703"/>
    <w:rsid w:val="00A93BA4"/>
    <w:rsid w:val="00A95606"/>
    <w:rsid w:val="00A95CA9"/>
    <w:rsid w:val="00A97911"/>
    <w:rsid w:val="00A97E4C"/>
    <w:rsid w:val="00AA0A9E"/>
    <w:rsid w:val="00AA1C05"/>
    <w:rsid w:val="00AA23A4"/>
    <w:rsid w:val="00AA25C9"/>
    <w:rsid w:val="00AA25DE"/>
    <w:rsid w:val="00AA25EB"/>
    <w:rsid w:val="00AA33CC"/>
    <w:rsid w:val="00AA5586"/>
    <w:rsid w:val="00AA59FB"/>
    <w:rsid w:val="00AA5F5B"/>
    <w:rsid w:val="00AA733D"/>
    <w:rsid w:val="00AA7947"/>
    <w:rsid w:val="00AB0036"/>
    <w:rsid w:val="00AB09DB"/>
    <w:rsid w:val="00AB10EF"/>
    <w:rsid w:val="00AB706E"/>
    <w:rsid w:val="00AC140A"/>
    <w:rsid w:val="00AC16D2"/>
    <w:rsid w:val="00AC1DCB"/>
    <w:rsid w:val="00AC261A"/>
    <w:rsid w:val="00AC37DB"/>
    <w:rsid w:val="00AC5468"/>
    <w:rsid w:val="00AD054A"/>
    <w:rsid w:val="00AD1B67"/>
    <w:rsid w:val="00AD1E38"/>
    <w:rsid w:val="00AD2705"/>
    <w:rsid w:val="00AD3201"/>
    <w:rsid w:val="00AD3829"/>
    <w:rsid w:val="00AD41FD"/>
    <w:rsid w:val="00AD45B6"/>
    <w:rsid w:val="00AD4B38"/>
    <w:rsid w:val="00AD6982"/>
    <w:rsid w:val="00AD6A9F"/>
    <w:rsid w:val="00AD6D68"/>
    <w:rsid w:val="00AE0773"/>
    <w:rsid w:val="00AE2640"/>
    <w:rsid w:val="00AE26A5"/>
    <w:rsid w:val="00AE2BE9"/>
    <w:rsid w:val="00AE32AC"/>
    <w:rsid w:val="00AE5BD4"/>
    <w:rsid w:val="00AE75E5"/>
    <w:rsid w:val="00AE7D2A"/>
    <w:rsid w:val="00AE7FC4"/>
    <w:rsid w:val="00AF0A1B"/>
    <w:rsid w:val="00AF2B48"/>
    <w:rsid w:val="00AF30C0"/>
    <w:rsid w:val="00AF4112"/>
    <w:rsid w:val="00AF4447"/>
    <w:rsid w:val="00AF547B"/>
    <w:rsid w:val="00AF5D29"/>
    <w:rsid w:val="00AF6EF8"/>
    <w:rsid w:val="00AF71B8"/>
    <w:rsid w:val="00AF7218"/>
    <w:rsid w:val="00B002C2"/>
    <w:rsid w:val="00B01133"/>
    <w:rsid w:val="00B03394"/>
    <w:rsid w:val="00B04377"/>
    <w:rsid w:val="00B045A9"/>
    <w:rsid w:val="00B04BAA"/>
    <w:rsid w:val="00B10671"/>
    <w:rsid w:val="00B10971"/>
    <w:rsid w:val="00B135D9"/>
    <w:rsid w:val="00B14BFD"/>
    <w:rsid w:val="00B1554C"/>
    <w:rsid w:val="00B1614E"/>
    <w:rsid w:val="00B16636"/>
    <w:rsid w:val="00B17103"/>
    <w:rsid w:val="00B1737A"/>
    <w:rsid w:val="00B17E33"/>
    <w:rsid w:val="00B20722"/>
    <w:rsid w:val="00B20CA2"/>
    <w:rsid w:val="00B21074"/>
    <w:rsid w:val="00B21B30"/>
    <w:rsid w:val="00B23139"/>
    <w:rsid w:val="00B2338C"/>
    <w:rsid w:val="00B233C2"/>
    <w:rsid w:val="00B23B8A"/>
    <w:rsid w:val="00B24321"/>
    <w:rsid w:val="00B243B3"/>
    <w:rsid w:val="00B251DA"/>
    <w:rsid w:val="00B26325"/>
    <w:rsid w:val="00B27BE0"/>
    <w:rsid w:val="00B3104B"/>
    <w:rsid w:val="00B3196A"/>
    <w:rsid w:val="00B334D5"/>
    <w:rsid w:val="00B347E1"/>
    <w:rsid w:val="00B34C40"/>
    <w:rsid w:val="00B4120A"/>
    <w:rsid w:val="00B41EE5"/>
    <w:rsid w:val="00B43741"/>
    <w:rsid w:val="00B441A7"/>
    <w:rsid w:val="00B44769"/>
    <w:rsid w:val="00B44787"/>
    <w:rsid w:val="00B44F42"/>
    <w:rsid w:val="00B45D0A"/>
    <w:rsid w:val="00B46814"/>
    <w:rsid w:val="00B46962"/>
    <w:rsid w:val="00B50112"/>
    <w:rsid w:val="00B510C5"/>
    <w:rsid w:val="00B51F4C"/>
    <w:rsid w:val="00B5249F"/>
    <w:rsid w:val="00B52ADB"/>
    <w:rsid w:val="00B52EAF"/>
    <w:rsid w:val="00B53307"/>
    <w:rsid w:val="00B53951"/>
    <w:rsid w:val="00B53965"/>
    <w:rsid w:val="00B53CE0"/>
    <w:rsid w:val="00B54749"/>
    <w:rsid w:val="00B55476"/>
    <w:rsid w:val="00B55C17"/>
    <w:rsid w:val="00B5605C"/>
    <w:rsid w:val="00B56D1B"/>
    <w:rsid w:val="00B5731C"/>
    <w:rsid w:val="00B57C3B"/>
    <w:rsid w:val="00B57D38"/>
    <w:rsid w:val="00B6022D"/>
    <w:rsid w:val="00B60609"/>
    <w:rsid w:val="00B608FA"/>
    <w:rsid w:val="00B60D57"/>
    <w:rsid w:val="00B6243D"/>
    <w:rsid w:val="00B624AF"/>
    <w:rsid w:val="00B62F2B"/>
    <w:rsid w:val="00B63560"/>
    <w:rsid w:val="00B63DD3"/>
    <w:rsid w:val="00B63E23"/>
    <w:rsid w:val="00B6401B"/>
    <w:rsid w:val="00B647B7"/>
    <w:rsid w:val="00B64811"/>
    <w:rsid w:val="00B64981"/>
    <w:rsid w:val="00B6553B"/>
    <w:rsid w:val="00B65C0F"/>
    <w:rsid w:val="00B66252"/>
    <w:rsid w:val="00B66C3F"/>
    <w:rsid w:val="00B674F4"/>
    <w:rsid w:val="00B7082F"/>
    <w:rsid w:val="00B714E4"/>
    <w:rsid w:val="00B7151E"/>
    <w:rsid w:val="00B7167F"/>
    <w:rsid w:val="00B71ADC"/>
    <w:rsid w:val="00B73C17"/>
    <w:rsid w:val="00B74BE0"/>
    <w:rsid w:val="00B74D1C"/>
    <w:rsid w:val="00B76125"/>
    <w:rsid w:val="00B7673D"/>
    <w:rsid w:val="00B800E8"/>
    <w:rsid w:val="00B80172"/>
    <w:rsid w:val="00B80562"/>
    <w:rsid w:val="00B80964"/>
    <w:rsid w:val="00B81D2C"/>
    <w:rsid w:val="00B81E71"/>
    <w:rsid w:val="00B823D5"/>
    <w:rsid w:val="00B834EE"/>
    <w:rsid w:val="00B83EB3"/>
    <w:rsid w:val="00B842F6"/>
    <w:rsid w:val="00B8526F"/>
    <w:rsid w:val="00B85AF2"/>
    <w:rsid w:val="00B85DB6"/>
    <w:rsid w:val="00B86DEF"/>
    <w:rsid w:val="00B8776D"/>
    <w:rsid w:val="00B87F93"/>
    <w:rsid w:val="00B905AB"/>
    <w:rsid w:val="00B92FC7"/>
    <w:rsid w:val="00B93464"/>
    <w:rsid w:val="00B94043"/>
    <w:rsid w:val="00B94895"/>
    <w:rsid w:val="00B956AE"/>
    <w:rsid w:val="00B95898"/>
    <w:rsid w:val="00B96C48"/>
    <w:rsid w:val="00BA0DA5"/>
    <w:rsid w:val="00BA1D76"/>
    <w:rsid w:val="00BA316E"/>
    <w:rsid w:val="00BA566E"/>
    <w:rsid w:val="00BA5685"/>
    <w:rsid w:val="00BA66E8"/>
    <w:rsid w:val="00BA6AF5"/>
    <w:rsid w:val="00BA6E57"/>
    <w:rsid w:val="00BB0173"/>
    <w:rsid w:val="00BB2BDB"/>
    <w:rsid w:val="00BB3623"/>
    <w:rsid w:val="00BB3727"/>
    <w:rsid w:val="00BB60B0"/>
    <w:rsid w:val="00BB64AB"/>
    <w:rsid w:val="00BB697E"/>
    <w:rsid w:val="00BB6A94"/>
    <w:rsid w:val="00BB75DC"/>
    <w:rsid w:val="00BC082D"/>
    <w:rsid w:val="00BC0BED"/>
    <w:rsid w:val="00BC1DB8"/>
    <w:rsid w:val="00BC2774"/>
    <w:rsid w:val="00BC2A2C"/>
    <w:rsid w:val="00BC32BE"/>
    <w:rsid w:val="00BC3E45"/>
    <w:rsid w:val="00BC4016"/>
    <w:rsid w:val="00BC4972"/>
    <w:rsid w:val="00BC62EE"/>
    <w:rsid w:val="00BC6339"/>
    <w:rsid w:val="00BC6A8F"/>
    <w:rsid w:val="00BC6FF7"/>
    <w:rsid w:val="00BD230E"/>
    <w:rsid w:val="00BD2466"/>
    <w:rsid w:val="00BD2A93"/>
    <w:rsid w:val="00BD2AAD"/>
    <w:rsid w:val="00BD2AF6"/>
    <w:rsid w:val="00BD4255"/>
    <w:rsid w:val="00BD4272"/>
    <w:rsid w:val="00BD429F"/>
    <w:rsid w:val="00BD4424"/>
    <w:rsid w:val="00BD511E"/>
    <w:rsid w:val="00BD5334"/>
    <w:rsid w:val="00BD5A63"/>
    <w:rsid w:val="00BD6EAF"/>
    <w:rsid w:val="00BE083B"/>
    <w:rsid w:val="00BE1923"/>
    <w:rsid w:val="00BE23D4"/>
    <w:rsid w:val="00BE2F78"/>
    <w:rsid w:val="00BE43FA"/>
    <w:rsid w:val="00BE49A2"/>
    <w:rsid w:val="00BE4ADF"/>
    <w:rsid w:val="00BE4D0F"/>
    <w:rsid w:val="00BE5B38"/>
    <w:rsid w:val="00BE5D1B"/>
    <w:rsid w:val="00BE770B"/>
    <w:rsid w:val="00BF1102"/>
    <w:rsid w:val="00BF3CDF"/>
    <w:rsid w:val="00BF63C2"/>
    <w:rsid w:val="00BF6C48"/>
    <w:rsid w:val="00BF7354"/>
    <w:rsid w:val="00C00918"/>
    <w:rsid w:val="00C009C3"/>
    <w:rsid w:val="00C00B4C"/>
    <w:rsid w:val="00C02484"/>
    <w:rsid w:val="00C0294F"/>
    <w:rsid w:val="00C02BF9"/>
    <w:rsid w:val="00C04227"/>
    <w:rsid w:val="00C0446C"/>
    <w:rsid w:val="00C04522"/>
    <w:rsid w:val="00C04685"/>
    <w:rsid w:val="00C053FA"/>
    <w:rsid w:val="00C05687"/>
    <w:rsid w:val="00C05A2E"/>
    <w:rsid w:val="00C06816"/>
    <w:rsid w:val="00C07B7D"/>
    <w:rsid w:val="00C07CE2"/>
    <w:rsid w:val="00C07E27"/>
    <w:rsid w:val="00C119AB"/>
    <w:rsid w:val="00C11A93"/>
    <w:rsid w:val="00C11B76"/>
    <w:rsid w:val="00C1205C"/>
    <w:rsid w:val="00C12487"/>
    <w:rsid w:val="00C130E7"/>
    <w:rsid w:val="00C13DAF"/>
    <w:rsid w:val="00C140C4"/>
    <w:rsid w:val="00C15D3A"/>
    <w:rsid w:val="00C168EE"/>
    <w:rsid w:val="00C177B1"/>
    <w:rsid w:val="00C179B7"/>
    <w:rsid w:val="00C244D7"/>
    <w:rsid w:val="00C24C90"/>
    <w:rsid w:val="00C25312"/>
    <w:rsid w:val="00C263E1"/>
    <w:rsid w:val="00C26E34"/>
    <w:rsid w:val="00C276EA"/>
    <w:rsid w:val="00C30011"/>
    <w:rsid w:val="00C30061"/>
    <w:rsid w:val="00C30995"/>
    <w:rsid w:val="00C30DF9"/>
    <w:rsid w:val="00C31993"/>
    <w:rsid w:val="00C323DA"/>
    <w:rsid w:val="00C32FEB"/>
    <w:rsid w:val="00C34ACC"/>
    <w:rsid w:val="00C34B6D"/>
    <w:rsid w:val="00C34FA7"/>
    <w:rsid w:val="00C36CDD"/>
    <w:rsid w:val="00C37A9E"/>
    <w:rsid w:val="00C4012F"/>
    <w:rsid w:val="00C40608"/>
    <w:rsid w:val="00C41BAA"/>
    <w:rsid w:val="00C431B2"/>
    <w:rsid w:val="00C44C89"/>
    <w:rsid w:val="00C45C65"/>
    <w:rsid w:val="00C50FFF"/>
    <w:rsid w:val="00C51076"/>
    <w:rsid w:val="00C51206"/>
    <w:rsid w:val="00C5185A"/>
    <w:rsid w:val="00C51AC4"/>
    <w:rsid w:val="00C51C7F"/>
    <w:rsid w:val="00C51E3C"/>
    <w:rsid w:val="00C5206C"/>
    <w:rsid w:val="00C52D91"/>
    <w:rsid w:val="00C52EA0"/>
    <w:rsid w:val="00C557A9"/>
    <w:rsid w:val="00C56E2C"/>
    <w:rsid w:val="00C573DA"/>
    <w:rsid w:val="00C5799E"/>
    <w:rsid w:val="00C579AE"/>
    <w:rsid w:val="00C60A5D"/>
    <w:rsid w:val="00C6186D"/>
    <w:rsid w:val="00C618A1"/>
    <w:rsid w:val="00C62753"/>
    <w:rsid w:val="00C627B1"/>
    <w:rsid w:val="00C63653"/>
    <w:rsid w:val="00C637AF"/>
    <w:rsid w:val="00C63B05"/>
    <w:rsid w:val="00C63CDE"/>
    <w:rsid w:val="00C64137"/>
    <w:rsid w:val="00C6421D"/>
    <w:rsid w:val="00C648A2"/>
    <w:rsid w:val="00C64CB6"/>
    <w:rsid w:val="00C65622"/>
    <w:rsid w:val="00C661D9"/>
    <w:rsid w:val="00C66480"/>
    <w:rsid w:val="00C66708"/>
    <w:rsid w:val="00C66AE2"/>
    <w:rsid w:val="00C70099"/>
    <w:rsid w:val="00C70BAE"/>
    <w:rsid w:val="00C7120A"/>
    <w:rsid w:val="00C72E26"/>
    <w:rsid w:val="00C750FB"/>
    <w:rsid w:val="00C75F4C"/>
    <w:rsid w:val="00C76784"/>
    <w:rsid w:val="00C778B0"/>
    <w:rsid w:val="00C8019F"/>
    <w:rsid w:val="00C8065B"/>
    <w:rsid w:val="00C82748"/>
    <w:rsid w:val="00C837DD"/>
    <w:rsid w:val="00C84089"/>
    <w:rsid w:val="00C85D2B"/>
    <w:rsid w:val="00C85F38"/>
    <w:rsid w:val="00C86785"/>
    <w:rsid w:val="00C86B88"/>
    <w:rsid w:val="00C86F4E"/>
    <w:rsid w:val="00C905A2"/>
    <w:rsid w:val="00C909DA"/>
    <w:rsid w:val="00C90D70"/>
    <w:rsid w:val="00C91483"/>
    <w:rsid w:val="00C919C6"/>
    <w:rsid w:val="00C9354D"/>
    <w:rsid w:val="00C95766"/>
    <w:rsid w:val="00C97123"/>
    <w:rsid w:val="00C977FE"/>
    <w:rsid w:val="00C97BC1"/>
    <w:rsid w:val="00CA00FC"/>
    <w:rsid w:val="00CA08C0"/>
    <w:rsid w:val="00CA1898"/>
    <w:rsid w:val="00CA282E"/>
    <w:rsid w:val="00CA41BA"/>
    <w:rsid w:val="00CA4865"/>
    <w:rsid w:val="00CA52EA"/>
    <w:rsid w:val="00CA5FCC"/>
    <w:rsid w:val="00CA6285"/>
    <w:rsid w:val="00CA6FD0"/>
    <w:rsid w:val="00CA7015"/>
    <w:rsid w:val="00CA774E"/>
    <w:rsid w:val="00CA78C4"/>
    <w:rsid w:val="00CB01BC"/>
    <w:rsid w:val="00CB0963"/>
    <w:rsid w:val="00CB14AC"/>
    <w:rsid w:val="00CB21AF"/>
    <w:rsid w:val="00CB505B"/>
    <w:rsid w:val="00CB6D95"/>
    <w:rsid w:val="00CB7D5D"/>
    <w:rsid w:val="00CC0B63"/>
    <w:rsid w:val="00CC0C94"/>
    <w:rsid w:val="00CC1B39"/>
    <w:rsid w:val="00CC1BBF"/>
    <w:rsid w:val="00CC24B7"/>
    <w:rsid w:val="00CC441C"/>
    <w:rsid w:val="00CC5B26"/>
    <w:rsid w:val="00CC76B0"/>
    <w:rsid w:val="00CD0127"/>
    <w:rsid w:val="00CD117B"/>
    <w:rsid w:val="00CD1938"/>
    <w:rsid w:val="00CD1BC0"/>
    <w:rsid w:val="00CD279D"/>
    <w:rsid w:val="00CD2D62"/>
    <w:rsid w:val="00CD3702"/>
    <w:rsid w:val="00CD4AAB"/>
    <w:rsid w:val="00CD4C07"/>
    <w:rsid w:val="00CE0462"/>
    <w:rsid w:val="00CE06BE"/>
    <w:rsid w:val="00CE1B86"/>
    <w:rsid w:val="00CE30D4"/>
    <w:rsid w:val="00CE3306"/>
    <w:rsid w:val="00CE4D84"/>
    <w:rsid w:val="00CE5C3D"/>
    <w:rsid w:val="00CE73E1"/>
    <w:rsid w:val="00CF0482"/>
    <w:rsid w:val="00CF0ABF"/>
    <w:rsid w:val="00CF0E8E"/>
    <w:rsid w:val="00CF0FC3"/>
    <w:rsid w:val="00CF14E6"/>
    <w:rsid w:val="00CF1E16"/>
    <w:rsid w:val="00CF35A9"/>
    <w:rsid w:val="00CF3716"/>
    <w:rsid w:val="00CF3A01"/>
    <w:rsid w:val="00CF3DA2"/>
    <w:rsid w:val="00CF4034"/>
    <w:rsid w:val="00CF44F1"/>
    <w:rsid w:val="00CF48E0"/>
    <w:rsid w:val="00CF4C4B"/>
    <w:rsid w:val="00CF6153"/>
    <w:rsid w:val="00CF645F"/>
    <w:rsid w:val="00D004EB"/>
    <w:rsid w:val="00D00D75"/>
    <w:rsid w:val="00D0151E"/>
    <w:rsid w:val="00D01A5C"/>
    <w:rsid w:val="00D02087"/>
    <w:rsid w:val="00D03144"/>
    <w:rsid w:val="00D03358"/>
    <w:rsid w:val="00D03496"/>
    <w:rsid w:val="00D03C0B"/>
    <w:rsid w:val="00D07260"/>
    <w:rsid w:val="00D10626"/>
    <w:rsid w:val="00D120AD"/>
    <w:rsid w:val="00D12BBB"/>
    <w:rsid w:val="00D17FBE"/>
    <w:rsid w:val="00D2039F"/>
    <w:rsid w:val="00D2074E"/>
    <w:rsid w:val="00D21662"/>
    <w:rsid w:val="00D21916"/>
    <w:rsid w:val="00D21EFA"/>
    <w:rsid w:val="00D23807"/>
    <w:rsid w:val="00D23C41"/>
    <w:rsid w:val="00D244E1"/>
    <w:rsid w:val="00D24818"/>
    <w:rsid w:val="00D25379"/>
    <w:rsid w:val="00D25DEC"/>
    <w:rsid w:val="00D2601F"/>
    <w:rsid w:val="00D26F50"/>
    <w:rsid w:val="00D26F96"/>
    <w:rsid w:val="00D30A96"/>
    <w:rsid w:val="00D30C22"/>
    <w:rsid w:val="00D32D61"/>
    <w:rsid w:val="00D33DE0"/>
    <w:rsid w:val="00D347C0"/>
    <w:rsid w:val="00D34CFF"/>
    <w:rsid w:val="00D34DCA"/>
    <w:rsid w:val="00D35FF2"/>
    <w:rsid w:val="00D362FF"/>
    <w:rsid w:val="00D36686"/>
    <w:rsid w:val="00D372D8"/>
    <w:rsid w:val="00D377EF"/>
    <w:rsid w:val="00D3785B"/>
    <w:rsid w:val="00D423B7"/>
    <w:rsid w:val="00D42F2B"/>
    <w:rsid w:val="00D43677"/>
    <w:rsid w:val="00D4383F"/>
    <w:rsid w:val="00D445F0"/>
    <w:rsid w:val="00D4474F"/>
    <w:rsid w:val="00D448F8"/>
    <w:rsid w:val="00D44C8C"/>
    <w:rsid w:val="00D44CFF"/>
    <w:rsid w:val="00D4544B"/>
    <w:rsid w:val="00D46087"/>
    <w:rsid w:val="00D461BA"/>
    <w:rsid w:val="00D510BA"/>
    <w:rsid w:val="00D5213C"/>
    <w:rsid w:val="00D5216D"/>
    <w:rsid w:val="00D53628"/>
    <w:rsid w:val="00D539D2"/>
    <w:rsid w:val="00D547A8"/>
    <w:rsid w:val="00D54D83"/>
    <w:rsid w:val="00D54E1E"/>
    <w:rsid w:val="00D56273"/>
    <w:rsid w:val="00D56395"/>
    <w:rsid w:val="00D6011D"/>
    <w:rsid w:val="00D616EB"/>
    <w:rsid w:val="00D6329B"/>
    <w:rsid w:val="00D638A2"/>
    <w:rsid w:val="00D63FC2"/>
    <w:rsid w:val="00D646D5"/>
    <w:rsid w:val="00D64702"/>
    <w:rsid w:val="00D65851"/>
    <w:rsid w:val="00D66257"/>
    <w:rsid w:val="00D668B6"/>
    <w:rsid w:val="00D70856"/>
    <w:rsid w:val="00D7226E"/>
    <w:rsid w:val="00D733F1"/>
    <w:rsid w:val="00D73718"/>
    <w:rsid w:val="00D744EE"/>
    <w:rsid w:val="00D7481A"/>
    <w:rsid w:val="00D74CA3"/>
    <w:rsid w:val="00D74EFE"/>
    <w:rsid w:val="00D75034"/>
    <w:rsid w:val="00D76038"/>
    <w:rsid w:val="00D772C5"/>
    <w:rsid w:val="00D77AA5"/>
    <w:rsid w:val="00D828C8"/>
    <w:rsid w:val="00D82F8B"/>
    <w:rsid w:val="00D84459"/>
    <w:rsid w:val="00D84565"/>
    <w:rsid w:val="00D84A6C"/>
    <w:rsid w:val="00D85347"/>
    <w:rsid w:val="00D85904"/>
    <w:rsid w:val="00D85EE1"/>
    <w:rsid w:val="00D86AC0"/>
    <w:rsid w:val="00D87599"/>
    <w:rsid w:val="00D87E3F"/>
    <w:rsid w:val="00D87FD0"/>
    <w:rsid w:val="00D902DE"/>
    <w:rsid w:val="00D91573"/>
    <w:rsid w:val="00D91718"/>
    <w:rsid w:val="00D92433"/>
    <w:rsid w:val="00D9369C"/>
    <w:rsid w:val="00D93A52"/>
    <w:rsid w:val="00D951E8"/>
    <w:rsid w:val="00D95AAD"/>
    <w:rsid w:val="00D95FDE"/>
    <w:rsid w:val="00D97476"/>
    <w:rsid w:val="00D976C9"/>
    <w:rsid w:val="00DA02CD"/>
    <w:rsid w:val="00DA0A03"/>
    <w:rsid w:val="00DA18E5"/>
    <w:rsid w:val="00DA2CBA"/>
    <w:rsid w:val="00DA348E"/>
    <w:rsid w:val="00DA6958"/>
    <w:rsid w:val="00DA6FEF"/>
    <w:rsid w:val="00DA7380"/>
    <w:rsid w:val="00DA73E3"/>
    <w:rsid w:val="00DB03A7"/>
    <w:rsid w:val="00DB1B35"/>
    <w:rsid w:val="00DB1D9A"/>
    <w:rsid w:val="00DB1F3F"/>
    <w:rsid w:val="00DB2776"/>
    <w:rsid w:val="00DB39E6"/>
    <w:rsid w:val="00DB4025"/>
    <w:rsid w:val="00DB4434"/>
    <w:rsid w:val="00DB56F5"/>
    <w:rsid w:val="00DB5FE9"/>
    <w:rsid w:val="00DB6F23"/>
    <w:rsid w:val="00DC168B"/>
    <w:rsid w:val="00DC17BC"/>
    <w:rsid w:val="00DC3176"/>
    <w:rsid w:val="00DC5CAB"/>
    <w:rsid w:val="00DC5ECC"/>
    <w:rsid w:val="00DC5F0E"/>
    <w:rsid w:val="00DC7927"/>
    <w:rsid w:val="00DC7E9C"/>
    <w:rsid w:val="00DD18DF"/>
    <w:rsid w:val="00DD19EF"/>
    <w:rsid w:val="00DD1E7A"/>
    <w:rsid w:val="00DD1F94"/>
    <w:rsid w:val="00DD3334"/>
    <w:rsid w:val="00DD4B6A"/>
    <w:rsid w:val="00DD5069"/>
    <w:rsid w:val="00DD54AB"/>
    <w:rsid w:val="00DD5659"/>
    <w:rsid w:val="00DD5757"/>
    <w:rsid w:val="00DD59CF"/>
    <w:rsid w:val="00DD6027"/>
    <w:rsid w:val="00DD78EB"/>
    <w:rsid w:val="00DD78FB"/>
    <w:rsid w:val="00DD7D0B"/>
    <w:rsid w:val="00DE0093"/>
    <w:rsid w:val="00DE0DE5"/>
    <w:rsid w:val="00DE1F4B"/>
    <w:rsid w:val="00DE39C1"/>
    <w:rsid w:val="00DE56C5"/>
    <w:rsid w:val="00DE5A4C"/>
    <w:rsid w:val="00DE5C88"/>
    <w:rsid w:val="00DE63E1"/>
    <w:rsid w:val="00DE6AD4"/>
    <w:rsid w:val="00DE71AB"/>
    <w:rsid w:val="00DE7ACE"/>
    <w:rsid w:val="00DE7D7A"/>
    <w:rsid w:val="00DF088C"/>
    <w:rsid w:val="00DF19F9"/>
    <w:rsid w:val="00DF23E8"/>
    <w:rsid w:val="00DF3475"/>
    <w:rsid w:val="00DF3527"/>
    <w:rsid w:val="00DF38DD"/>
    <w:rsid w:val="00DF438D"/>
    <w:rsid w:val="00DF4667"/>
    <w:rsid w:val="00DF466F"/>
    <w:rsid w:val="00DF75CD"/>
    <w:rsid w:val="00E00C0E"/>
    <w:rsid w:val="00E02F25"/>
    <w:rsid w:val="00E03332"/>
    <w:rsid w:val="00E0380A"/>
    <w:rsid w:val="00E03D20"/>
    <w:rsid w:val="00E052B2"/>
    <w:rsid w:val="00E05585"/>
    <w:rsid w:val="00E0566F"/>
    <w:rsid w:val="00E05AFD"/>
    <w:rsid w:val="00E05B36"/>
    <w:rsid w:val="00E067B2"/>
    <w:rsid w:val="00E10669"/>
    <w:rsid w:val="00E122A3"/>
    <w:rsid w:val="00E127B6"/>
    <w:rsid w:val="00E12ED2"/>
    <w:rsid w:val="00E132C0"/>
    <w:rsid w:val="00E150CF"/>
    <w:rsid w:val="00E20298"/>
    <w:rsid w:val="00E22AC8"/>
    <w:rsid w:val="00E231EC"/>
    <w:rsid w:val="00E2353C"/>
    <w:rsid w:val="00E24090"/>
    <w:rsid w:val="00E248FD"/>
    <w:rsid w:val="00E24CC2"/>
    <w:rsid w:val="00E26814"/>
    <w:rsid w:val="00E26844"/>
    <w:rsid w:val="00E26981"/>
    <w:rsid w:val="00E26FB9"/>
    <w:rsid w:val="00E300BD"/>
    <w:rsid w:val="00E300C5"/>
    <w:rsid w:val="00E30246"/>
    <w:rsid w:val="00E32332"/>
    <w:rsid w:val="00E32764"/>
    <w:rsid w:val="00E32DA8"/>
    <w:rsid w:val="00E33764"/>
    <w:rsid w:val="00E33CAA"/>
    <w:rsid w:val="00E33DAA"/>
    <w:rsid w:val="00E3430B"/>
    <w:rsid w:val="00E35924"/>
    <w:rsid w:val="00E35D5D"/>
    <w:rsid w:val="00E36F74"/>
    <w:rsid w:val="00E37E48"/>
    <w:rsid w:val="00E427CB"/>
    <w:rsid w:val="00E43B50"/>
    <w:rsid w:val="00E45A37"/>
    <w:rsid w:val="00E46A21"/>
    <w:rsid w:val="00E50729"/>
    <w:rsid w:val="00E50FEE"/>
    <w:rsid w:val="00E515F3"/>
    <w:rsid w:val="00E5165B"/>
    <w:rsid w:val="00E52305"/>
    <w:rsid w:val="00E52E55"/>
    <w:rsid w:val="00E53DA0"/>
    <w:rsid w:val="00E5498A"/>
    <w:rsid w:val="00E5609A"/>
    <w:rsid w:val="00E566C7"/>
    <w:rsid w:val="00E57518"/>
    <w:rsid w:val="00E57D42"/>
    <w:rsid w:val="00E617EA"/>
    <w:rsid w:val="00E62F16"/>
    <w:rsid w:val="00E63667"/>
    <w:rsid w:val="00E64253"/>
    <w:rsid w:val="00E64C61"/>
    <w:rsid w:val="00E650F3"/>
    <w:rsid w:val="00E67464"/>
    <w:rsid w:val="00E67AD2"/>
    <w:rsid w:val="00E67CE5"/>
    <w:rsid w:val="00E70DAC"/>
    <w:rsid w:val="00E711E3"/>
    <w:rsid w:val="00E7216E"/>
    <w:rsid w:val="00E74FCE"/>
    <w:rsid w:val="00E75AFE"/>
    <w:rsid w:val="00E75EA0"/>
    <w:rsid w:val="00E75EB2"/>
    <w:rsid w:val="00E76AE5"/>
    <w:rsid w:val="00E770A3"/>
    <w:rsid w:val="00E77856"/>
    <w:rsid w:val="00E8136B"/>
    <w:rsid w:val="00E816DD"/>
    <w:rsid w:val="00E82B19"/>
    <w:rsid w:val="00E839CB"/>
    <w:rsid w:val="00E83A62"/>
    <w:rsid w:val="00E84952"/>
    <w:rsid w:val="00E84F19"/>
    <w:rsid w:val="00E85086"/>
    <w:rsid w:val="00E852AA"/>
    <w:rsid w:val="00E8601C"/>
    <w:rsid w:val="00E87014"/>
    <w:rsid w:val="00E87BF5"/>
    <w:rsid w:val="00E90276"/>
    <w:rsid w:val="00E91AC5"/>
    <w:rsid w:val="00E91C76"/>
    <w:rsid w:val="00E92192"/>
    <w:rsid w:val="00E93653"/>
    <w:rsid w:val="00E940DA"/>
    <w:rsid w:val="00E944B6"/>
    <w:rsid w:val="00E94C28"/>
    <w:rsid w:val="00E94F66"/>
    <w:rsid w:val="00E9508C"/>
    <w:rsid w:val="00E95E66"/>
    <w:rsid w:val="00E96609"/>
    <w:rsid w:val="00E96D15"/>
    <w:rsid w:val="00EA169E"/>
    <w:rsid w:val="00EA17DC"/>
    <w:rsid w:val="00EA1F08"/>
    <w:rsid w:val="00EA30E0"/>
    <w:rsid w:val="00EA3D82"/>
    <w:rsid w:val="00EA406C"/>
    <w:rsid w:val="00EA42FF"/>
    <w:rsid w:val="00EA4751"/>
    <w:rsid w:val="00EA6AB2"/>
    <w:rsid w:val="00EB15B2"/>
    <w:rsid w:val="00EB1838"/>
    <w:rsid w:val="00EB3295"/>
    <w:rsid w:val="00EB3AD2"/>
    <w:rsid w:val="00EB3C57"/>
    <w:rsid w:val="00EB433F"/>
    <w:rsid w:val="00EB446D"/>
    <w:rsid w:val="00EB4D5C"/>
    <w:rsid w:val="00EB4E63"/>
    <w:rsid w:val="00EB55B7"/>
    <w:rsid w:val="00EB65FB"/>
    <w:rsid w:val="00EB6B74"/>
    <w:rsid w:val="00EB6E07"/>
    <w:rsid w:val="00EB6F3F"/>
    <w:rsid w:val="00EC01C7"/>
    <w:rsid w:val="00EC357F"/>
    <w:rsid w:val="00EC4A2A"/>
    <w:rsid w:val="00EC4CC4"/>
    <w:rsid w:val="00EC62F9"/>
    <w:rsid w:val="00EC6C3E"/>
    <w:rsid w:val="00EC714A"/>
    <w:rsid w:val="00EC7D58"/>
    <w:rsid w:val="00ED0343"/>
    <w:rsid w:val="00ED03B8"/>
    <w:rsid w:val="00ED0D20"/>
    <w:rsid w:val="00ED1752"/>
    <w:rsid w:val="00ED1FD1"/>
    <w:rsid w:val="00ED2D4D"/>
    <w:rsid w:val="00ED45F2"/>
    <w:rsid w:val="00ED4C13"/>
    <w:rsid w:val="00ED4C2F"/>
    <w:rsid w:val="00ED5ED9"/>
    <w:rsid w:val="00ED6291"/>
    <w:rsid w:val="00ED69B0"/>
    <w:rsid w:val="00ED6D51"/>
    <w:rsid w:val="00ED6E5F"/>
    <w:rsid w:val="00ED7C82"/>
    <w:rsid w:val="00EE17B2"/>
    <w:rsid w:val="00EE3095"/>
    <w:rsid w:val="00EE3C30"/>
    <w:rsid w:val="00EE3C74"/>
    <w:rsid w:val="00EE40A7"/>
    <w:rsid w:val="00EE4AF2"/>
    <w:rsid w:val="00EE5509"/>
    <w:rsid w:val="00EE55A8"/>
    <w:rsid w:val="00EE65A4"/>
    <w:rsid w:val="00EE681B"/>
    <w:rsid w:val="00EE6B37"/>
    <w:rsid w:val="00EF1149"/>
    <w:rsid w:val="00EF2657"/>
    <w:rsid w:val="00EF2903"/>
    <w:rsid w:val="00EF5074"/>
    <w:rsid w:val="00EF5A2D"/>
    <w:rsid w:val="00EF611A"/>
    <w:rsid w:val="00EF6B92"/>
    <w:rsid w:val="00EF70D7"/>
    <w:rsid w:val="00EF7772"/>
    <w:rsid w:val="00F00A36"/>
    <w:rsid w:val="00F017AF"/>
    <w:rsid w:val="00F01B2C"/>
    <w:rsid w:val="00F01E9A"/>
    <w:rsid w:val="00F02512"/>
    <w:rsid w:val="00F03207"/>
    <w:rsid w:val="00F039E3"/>
    <w:rsid w:val="00F03BC8"/>
    <w:rsid w:val="00F0400A"/>
    <w:rsid w:val="00F050D3"/>
    <w:rsid w:val="00F05902"/>
    <w:rsid w:val="00F05F95"/>
    <w:rsid w:val="00F069D4"/>
    <w:rsid w:val="00F06BA3"/>
    <w:rsid w:val="00F071D5"/>
    <w:rsid w:val="00F074A8"/>
    <w:rsid w:val="00F1259E"/>
    <w:rsid w:val="00F13685"/>
    <w:rsid w:val="00F13984"/>
    <w:rsid w:val="00F13FF9"/>
    <w:rsid w:val="00F14541"/>
    <w:rsid w:val="00F14A3E"/>
    <w:rsid w:val="00F15DB2"/>
    <w:rsid w:val="00F21480"/>
    <w:rsid w:val="00F23362"/>
    <w:rsid w:val="00F24F68"/>
    <w:rsid w:val="00F26372"/>
    <w:rsid w:val="00F2672C"/>
    <w:rsid w:val="00F26C8A"/>
    <w:rsid w:val="00F27556"/>
    <w:rsid w:val="00F32687"/>
    <w:rsid w:val="00F3296C"/>
    <w:rsid w:val="00F32EC4"/>
    <w:rsid w:val="00F3511A"/>
    <w:rsid w:val="00F357DB"/>
    <w:rsid w:val="00F41949"/>
    <w:rsid w:val="00F41C5C"/>
    <w:rsid w:val="00F43AA7"/>
    <w:rsid w:val="00F441E4"/>
    <w:rsid w:val="00F442FD"/>
    <w:rsid w:val="00F45406"/>
    <w:rsid w:val="00F4562F"/>
    <w:rsid w:val="00F45E42"/>
    <w:rsid w:val="00F47E7C"/>
    <w:rsid w:val="00F50063"/>
    <w:rsid w:val="00F502F1"/>
    <w:rsid w:val="00F508A8"/>
    <w:rsid w:val="00F50F9E"/>
    <w:rsid w:val="00F5150F"/>
    <w:rsid w:val="00F5193E"/>
    <w:rsid w:val="00F51975"/>
    <w:rsid w:val="00F52EEB"/>
    <w:rsid w:val="00F5463A"/>
    <w:rsid w:val="00F54825"/>
    <w:rsid w:val="00F5495D"/>
    <w:rsid w:val="00F55841"/>
    <w:rsid w:val="00F55C00"/>
    <w:rsid w:val="00F56625"/>
    <w:rsid w:val="00F56A89"/>
    <w:rsid w:val="00F5737E"/>
    <w:rsid w:val="00F61335"/>
    <w:rsid w:val="00F61A9F"/>
    <w:rsid w:val="00F61AE3"/>
    <w:rsid w:val="00F62B15"/>
    <w:rsid w:val="00F63FDA"/>
    <w:rsid w:val="00F67789"/>
    <w:rsid w:val="00F67BD2"/>
    <w:rsid w:val="00F71E44"/>
    <w:rsid w:val="00F72C1B"/>
    <w:rsid w:val="00F74037"/>
    <w:rsid w:val="00F74D0E"/>
    <w:rsid w:val="00F75165"/>
    <w:rsid w:val="00F756C8"/>
    <w:rsid w:val="00F75D45"/>
    <w:rsid w:val="00F7647B"/>
    <w:rsid w:val="00F768EB"/>
    <w:rsid w:val="00F77EC4"/>
    <w:rsid w:val="00F810E2"/>
    <w:rsid w:val="00F81F2C"/>
    <w:rsid w:val="00F8252F"/>
    <w:rsid w:val="00F8300A"/>
    <w:rsid w:val="00F83B63"/>
    <w:rsid w:val="00F84BB2"/>
    <w:rsid w:val="00F84CA6"/>
    <w:rsid w:val="00F851FF"/>
    <w:rsid w:val="00F866B5"/>
    <w:rsid w:val="00F86989"/>
    <w:rsid w:val="00F86C6C"/>
    <w:rsid w:val="00F871DC"/>
    <w:rsid w:val="00F87D21"/>
    <w:rsid w:val="00F9011A"/>
    <w:rsid w:val="00F9140A"/>
    <w:rsid w:val="00F914C9"/>
    <w:rsid w:val="00F92059"/>
    <w:rsid w:val="00F92A4A"/>
    <w:rsid w:val="00F95309"/>
    <w:rsid w:val="00F95629"/>
    <w:rsid w:val="00F956B9"/>
    <w:rsid w:val="00F966FF"/>
    <w:rsid w:val="00FA0E14"/>
    <w:rsid w:val="00FA2D0A"/>
    <w:rsid w:val="00FA39FF"/>
    <w:rsid w:val="00FA3E89"/>
    <w:rsid w:val="00FA7FDA"/>
    <w:rsid w:val="00FB0478"/>
    <w:rsid w:val="00FB1E69"/>
    <w:rsid w:val="00FB30C7"/>
    <w:rsid w:val="00FB4ED8"/>
    <w:rsid w:val="00FB5AA5"/>
    <w:rsid w:val="00FB7813"/>
    <w:rsid w:val="00FC00A3"/>
    <w:rsid w:val="00FC0149"/>
    <w:rsid w:val="00FC0612"/>
    <w:rsid w:val="00FC2B3E"/>
    <w:rsid w:val="00FC2F34"/>
    <w:rsid w:val="00FC4184"/>
    <w:rsid w:val="00FC528F"/>
    <w:rsid w:val="00FC5435"/>
    <w:rsid w:val="00FC776A"/>
    <w:rsid w:val="00FC7FF2"/>
    <w:rsid w:val="00FD1068"/>
    <w:rsid w:val="00FD12CC"/>
    <w:rsid w:val="00FD223B"/>
    <w:rsid w:val="00FD32E3"/>
    <w:rsid w:val="00FD4EC8"/>
    <w:rsid w:val="00FD4FFE"/>
    <w:rsid w:val="00FD5811"/>
    <w:rsid w:val="00FD620C"/>
    <w:rsid w:val="00FE068B"/>
    <w:rsid w:val="00FE11F6"/>
    <w:rsid w:val="00FE3585"/>
    <w:rsid w:val="00FE366C"/>
    <w:rsid w:val="00FE5081"/>
    <w:rsid w:val="00FE588B"/>
    <w:rsid w:val="00FE594B"/>
    <w:rsid w:val="00FE674C"/>
    <w:rsid w:val="00FE74A9"/>
    <w:rsid w:val="00FE7E5B"/>
    <w:rsid w:val="00FF1951"/>
    <w:rsid w:val="00FF2FF2"/>
    <w:rsid w:val="00FF42C5"/>
    <w:rsid w:val="00FF457B"/>
    <w:rsid w:val="00FF4B4D"/>
    <w:rsid w:val="00FF58C4"/>
    <w:rsid w:val="00FF59B5"/>
    <w:rsid w:val="00FF6120"/>
    <w:rsid w:val="00FF62ED"/>
    <w:rsid w:val="1E4D2418"/>
    <w:rsid w:val="783A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8"/>
    <w:qFormat/>
    <w:uiPriority w:val="9"/>
    <w:pPr>
      <w:keepNext/>
      <w:keepLines/>
      <w:spacing w:before="340" w:after="330"/>
      <w:ind w:firstLine="0" w:firstLineChars="0"/>
      <w:jc w:val="center"/>
      <w:outlineLvl w:val="0"/>
    </w:pPr>
    <w:rPr>
      <w:rFonts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spacing w:line="240" w:lineRule="atLeast"/>
      <w:jc w:val="left"/>
    </w:pPr>
    <w:rPr>
      <w:sz w:val="18"/>
      <w:szCs w:val="18"/>
    </w:rPr>
  </w:style>
  <w:style w:type="character" w:customStyle="1" w:styleId="7">
    <w:name w:val="批注框文本 Char"/>
    <w:basedOn w:val="6"/>
    <w:link w:val="3"/>
    <w:semiHidden/>
    <w:uiPriority w:val="99"/>
    <w:rPr>
      <w:sz w:val="18"/>
      <w:szCs w:val="18"/>
    </w:rPr>
  </w:style>
  <w:style w:type="character" w:customStyle="1" w:styleId="8">
    <w:name w:val="标题 1 Char"/>
    <w:basedOn w:val="6"/>
    <w:link w:val="2"/>
    <w:uiPriority w:val="9"/>
    <w:rPr>
      <w:rFonts w:eastAsia="方正小标宋简体"/>
      <w:bCs/>
      <w:kern w:val="44"/>
      <w:sz w:val="44"/>
      <w:szCs w:val="44"/>
    </w:rPr>
  </w:style>
  <w:style w:type="character" w:customStyle="1" w:styleId="9">
    <w:name w:val="页脚 Char"/>
    <w:basedOn w:val="6"/>
    <w:link w:val="4"/>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2422</Words>
  <Characters>13812</Characters>
  <Lines>115</Lines>
  <Paragraphs>32</Paragraphs>
  <TotalTime>2</TotalTime>
  <ScaleCrop>false</ScaleCrop>
  <LinksUpToDate>false</LinksUpToDate>
  <CharactersWithSpaces>16202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2021-03-30T07:35:00Z</dcterms:created>
  <dc:creator>马莹</dc:creator>
  <cp:lastModifiedBy>潇</cp:lastModifiedBy>
  <dcterms:modified xsi:type="dcterms:W3CDTF">2021-03-30T09:48:23Z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68EE47A749BD469A8EFD35D9DACF5E3D</vt:lpwstr>
  </property>
</Properties>
</file>